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800" w:type="dxa"/>
        <w:tblCellSpacing w:w="15" w:type="dxa"/>
        <w:tblCellMar>
          <w:top w:w="15" w:type="dxa"/>
          <w:left w:w="15" w:type="dxa"/>
          <w:bottom w:w="15" w:type="dxa"/>
          <w:right w:w="15" w:type="dxa"/>
        </w:tblCellMar>
        <w:tblLook w:val="04A0" w:firstRow="1" w:lastRow="0" w:firstColumn="1" w:lastColumn="0" w:noHBand="0" w:noVBand="1"/>
      </w:tblPr>
      <w:tblGrid>
        <w:gridCol w:w="8715"/>
      </w:tblGrid>
      <w:tr w:rsidR="008317D6" w:rsidRPr="00447F64" w:rsidTr="008317D6">
        <w:trPr>
          <w:tblCellSpacing w:w="15" w:type="dxa"/>
        </w:trPr>
        <w:tc>
          <w:tcPr>
            <w:tcW w:w="0" w:type="auto"/>
            <w:vAlign w:val="center"/>
            <w:hideMark/>
          </w:tcPr>
          <w:p w:rsidR="008317D6" w:rsidRPr="00447F64" w:rsidRDefault="008317D6" w:rsidP="00447F64">
            <w:pPr>
              <w:spacing w:after="0"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REGLUR</w:t>
            </w:r>
          </w:p>
        </w:tc>
      </w:tr>
      <w:tr w:rsidR="008317D6" w:rsidRPr="00447F64" w:rsidTr="008317D6">
        <w:trPr>
          <w:tblCellSpacing w:w="15" w:type="dxa"/>
        </w:trPr>
        <w:tc>
          <w:tcPr>
            <w:tcW w:w="0" w:type="auto"/>
            <w:vAlign w:val="center"/>
            <w:hideMark/>
          </w:tcPr>
          <w:p w:rsidR="008317D6" w:rsidRPr="00447F64" w:rsidRDefault="008317D6" w:rsidP="00447F64">
            <w:pPr>
              <w:spacing w:after="0"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um eiginfjárkröfur og áhættugrunn fjármálafyrirtækja.</w:t>
            </w:r>
            <w:r w:rsidR="00E738BF">
              <w:rPr>
                <w:rStyle w:val="FootnoteReference"/>
                <w:rFonts w:ascii="Arial" w:eastAsia="Times New Roman" w:hAnsi="Arial" w:cs="Arial"/>
                <w:sz w:val="24"/>
                <w:szCs w:val="24"/>
                <w:lang w:eastAsia="is-IS"/>
              </w:rPr>
              <w:footnoteReference w:id="1"/>
            </w:r>
          </w:p>
        </w:tc>
      </w:tr>
      <w:tr w:rsidR="008317D6" w:rsidRPr="00447F64" w:rsidTr="008317D6">
        <w:trPr>
          <w:tblCellSpacing w:w="15" w:type="dxa"/>
        </w:trPr>
        <w:tc>
          <w:tcPr>
            <w:tcW w:w="0" w:type="auto"/>
            <w:vAlign w:val="center"/>
            <w:hideMark/>
          </w:tcPr>
          <w:p w:rsidR="008317D6" w:rsidRPr="00447F64" w:rsidRDefault="008317D6" w:rsidP="00447F64">
            <w:pPr>
              <w:spacing w:after="0" w:line="240" w:lineRule="auto"/>
              <w:jc w:val="both"/>
              <w:rPr>
                <w:rFonts w:ascii="Arial" w:eastAsia="Times New Roman" w:hAnsi="Arial" w:cs="Arial"/>
                <w:sz w:val="24"/>
                <w:szCs w:val="24"/>
                <w:lang w:eastAsia="is-IS"/>
              </w:rPr>
            </w:pPr>
          </w:p>
          <w:p w:rsidR="008317D6" w:rsidRPr="00447F64" w:rsidRDefault="008317D6" w:rsidP="00E738BF">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I. KAFLI</w:t>
            </w:r>
          </w:p>
          <w:p w:rsidR="008317D6" w:rsidRPr="00447F64" w:rsidRDefault="008317D6" w:rsidP="00E738BF">
            <w:pPr>
              <w:spacing w:before="100" w:beforeAutospacing="1" w:after="100" w:afterAutospacing="1" w:line="240" w:lineRule="auto"/>
              <w:jc w:val="center"/>
              <w:rPr>
                <w:rFonts w:ascii="Arial" w:eastAsia="Times New Roman" w:hAnsi="Arial" w:cs="Arial"/>
                <w:b/>
                <w:bCs/>
                <w:sz w:val="24"/>
                <w:szCs w:val="24"/>
                <w:lang w:eastAsia="is-IS"/>
              </w:rPr>
            </w:pPr>
            <w:r w:rsidRPr="00447F64">
              <w:rPr>
                <w:rFonts w:ascii="Arial" w:eastAsia="Times New Roman" w:hAnsi="Arial" w:cs="Arial"/>
                <w:b/>
                <w:bCs/>
                <w:sz w:val="24"/>
                <w:szCs w:val="24"/>
                <w:lang w:eastAsia="is-IS"/>
              </w:rPr>
              <w:t>Gildissvið og skilgreiningar.</w:t>
            </w:r>
          </w:p>
          <w:p w:rsidR="008317D6" w:rsidRPr="00447F64" w:rsidRDefault="008317D6" w:rsidP="00E738BF">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1. gr.</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Reglur þessar gilda um eftirtalda aðila: </w:t>
            </w:r>
          </w:p>
          <w:p w:rsidR="008317D6" w:rsidRPr="00447F64" w:rsidRDefault="008317D6" w:rsidP="00447F64">
            <w:pPr>
              <w:numPr>
                <w:ilvl w:val="0"/>
                <w:numId w:val="1"/>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Fjármálafyrirtæki sem fengið hafa starfsleyfi samkvæmt 1.-3. og 5.-7. tölul. 1. mgr. 4. gr. laga nr. 161/2002, um fjármálafyrirtæki, þ.e. viðskiptabanka, spari</w:t>
            </w:r>
            <w:r w:rsidRPr="00447F64">
              <w:rPr>
                <w:rFonts w:ascii="Arial" w:eastAsia="Times New Roman" w:hAnsi="Arial" w:cs="Arial"/>
                <w:sz w:val="24"/>
                <w:szCs w:val="24"/>
                <w:lang w:eastAsia="is-IS"/>
              </w:rPr>
              <w:softHyphen/>
              <w:t xml:space="preserve">sjóði, lánafyrirtæki, verðbréfafyrirtæki, verðbréfamiðlanir og rekstrarfélög verðbréfasjóða. </w:t>
            </w:r>
          </w:p>
          <w:p w:rsidR="008317D6" w:rsidRPr="00447F64" w:rsidRDefault="008317D6" w:rsidP="00447F64">
            <w:pPr>
              <w:numPr>
                <w:ilvl w:val="0"/>
                <w:numId w:val="1"/>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Samstæður þar sem móðurfyrirtæki er eitthvert þeirra fyrirtækja sem nefnt er í 1. tölul.</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Þeir aðilar sem taldir eru upp í 1. mgr. þessarar greinar nefnast fjármálafyrirtæki í eftir</w:t>
            </w:r>
            <w:r w:rsidRPr="00447F64">
              <w:rPr>
                <w:rFonts w:ascii="Arial" w:eastAsia="Times New Roman" w:hAnsi="Arial" w:cs="Arial"/>
                <w:sz w:val="24"/>
                <w:szCs w:val="24"/>
                <w:lang w:eastAsia="is-IS"/>
              </w:rPr>
              <w:softHyphen/>
              <w:t>farandi greinum.</w:t>
            </w:r>
          </w:p>
          <w:p w:rsidR="008317D6" w:rsidRPr="00447F64" w:rsidRDefault="008317D6" w:rsidP="00E738BF">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2. gr.</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Í þessum reglum er merking eftirfarandi hugtaka sem hér segir:</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i/>
                <w:iCs/>
                <w:sz w:val="24"/>
                <w:szCs w:val="24"/>
                <w:lang w:eastAsia="is-IS"/>
              </w:rPr>
              <w:t xml:space="preserve">Áhættuskuldbinding/-krafa (e. </w:t>
            </w:r>
            <w:proofErr w:type="spellStart"/>
            <w:r w:rsidRPr="00447F64">
              <w:rPr>
                <w:rFonts w:ascii="Arial" w:eastAsia="Times New Roman" w:hAnsi="Arial" w:cs="Arial"/>
                <w:i/>
                <w:iCs/>
                <w:sz w:val="24"/>
                <w:szCs w:val="24"/>
                <w:lang w:eastAsia="is-IS"/>
              </w:rPr>
              <w:t>exposure</w:t>
            </w:r>
            <w:proofErr w:type="spellEnd"/>
            <w:r w:rsidRPr="00447F64">
              <w:rPr>
                <w:rFonts w:ascii="Arial" w:eastAsia="Times New Roman" w:hAnsi="Arial" w:cs="Arial"/>
                <w:i/>
                <w:iCs/>
                <w:sz w:val="24"/>
                <w:szCs w:val="24"/>
                <w:lang w:eastAsia="is-IS"/>
              </w:rPr>
              <w:t>)</w:t>
            </w:r>
            <w:r w:rsidRPr="00447F64">
              <w:rPr>
                <w:rFonts w:ascii="Arial" w:eastAsia="Times New Roman" w:hAnsi="Arial" w:cs="Arial"/>
                <w:sz w:val="24"/>
                <w:szCs w:val="24"/>
                <w:lang w:eastAsia="is-IS"/>
              </w:rPr>
              <w:t>: Notað um eignaliði og liði utan efnahags.</w:t>
            </w:r>
          </w:p>
          <w:p w:rsidR="008317D6" w:rsidRPr="00447F64" w:rsidRDefault="008317D6" w:rsidP="00447F64">
            <w:pPr>
              <w:spacing w:before="100" w:beforeAutospacing="1" w:after="100" w:afterAutospacing="1" w:line="240" w:lineRule="auto"/>
              <w:jc w:val="both"/>
              <w:rPr>
                <w:rFonts w:ascii="Arial" w:eastAsia="Times New Roman" w:hAnsi="Arial" w:cs="Arial"/>
                <w:i/>
                <w:iCs/>
                <w:sz w:val="24"/>
                <w:szCs w:val="24"/>
                <w:lang w:eastAsia="is-IS"/>
              </w:rPr>
            </w:pPr>
            <w:r w:rsidRPr="00447F64">
              <w:rPr>
                <w:rFonts w:ascii="Arial" w:eastAsia="Times New Roman" w:hAnsi="Arial" w:cs="Arial"/>
                <w:i/>
                <w:iCs/>
                <w:sz w:val="24"/>
                <w:szCs w:val="24"/>
                <w:lang w:eastAsia="is-IS"/>
              </w:rPr>
              <w:t xml:space="preserve">Baktryggð staða (e. </w:t>
            </w:r>
            <w:proofErr w:type="spellStart"/>
            <w:r w:rsidRPr="00447F64">
              <w:rPr>
                <w:rFonts w:ascii="Arial" w:eastAsia="Times New Roman" w:hAnsi="Arial" w:cs="Arial"/>
                <w:i/>
                <w:iCs/>
                <w:sz w:val="24"/>
                <w:szCs w:val="24"/>
                <w:lang w:eastAsia="is-IS"/>
              </w:rPr>
              <w:t>hedged</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position</w:t>
            </w:r>
            <w:proofErr w:type="spellEnd"/>
            <w:r w:rsidRPr="00447F64">
              <w:rPr>
                <w:rFonts w:ascii="Arial" w:eastAsia="Times New Roman" w:hAnsi="Arial" w:cs="Arial"/>
                <w:i/>
                <w:iCs/>
                <w:sz w:val="24"/>
                <w:szCs w:val="24"/>
                <w:lang w:eastAsia="is-IS"/>
              </w:rPr>
              <w:t xml:space="preserve">): </w:t>
            </w:r>
            <w:r w:rsidRPr="00447F64">
              <w:rPr>
                <w:rFonts w:ascii="Arial" w:eastAsia="Times New Roman" w:hAnsi="Arial" w:cs="Arial"/>
                <w:sz w:val="24"/>
                <w:szCs w:val="24"/>
                <w:lang w:eastAsia="is-IS"/>
              </w:rPr>
              <w:t xml:space="preserve">Staða í </w:t>
            </w:r>
            <w:r w:rsidRPr="00447F64">
              <w:rPr>
                <w:rFonts w:ascii="Arial" w:eastAsia="Times New Roman" w:hAnsi="Arial" w:cs="Arial"/>
                <w:i/>
                <w:iCs/>
                <w:sz w:val="24"/>
                <w:szCs w:val="24"/>
                <w:lang w:eastAsia="is-IS"/>
              </w:rPr>
              <w:t>fjármálagerningum</w:t>
            </w:r>
            <w:r w:rsidRPr="00447F64">
              <w:rPr>
                <w:rFonts w:ascii="Arial" w:eastAsia="Times New Roman" w:hAnsi="Arial" w:cs="Arial"/>
                <w:sz w:val="24"/>
                <w:szCs w:val="24"/>
                <w:lang w:eastAsia="is-IS"/>
              </w:rPr>
              <w:t xml:space="preserve"> sem fjármálafyrirtækið hefur tekið til að tryggja sig gegn </w:t>
            </w:r>
            <w:r w:rsidRPr="00447F64">
              <w:rPr>
                <w:rFonts w:ascii="Arial" w:eastAsia="Times New Roman" w:hAnsi="Arial" w:cs="Arial"/>
                <w:i/>
                <w:iCs/>
                <w:sz w:val="24"/>
                <w:szCs w:val="24"/>
                <w:lang w:eastAsia="is-IS"/>
              </w:rPr>
              <w:t xml:space="preserve">markaðsáhættu </w:t>
            </w:r>
            <w:r w:rsidRPr="00447F64">
              <w:rPr>
                <w:rFonts w:ascii="Arial" w:eastAsia="Times New Roman" w:hAnsi="Arial" w:cs="Arial"/>
                <w:sz w:val="24"/>
                <w:szCs w:val="24"/>
                <w:lang w:eastAsia="is-IS"/>
              </w:rPr>
              <w:t xml:space="preserve">eigna- og skuldaliða eða stöðu í afleiðum. </w:t>
            </w:r>
          </w:p>
          <w:p w:rsidR="008317D6" w:rsidRPr="00447F64" w:rsidRDefault="008317D6" w:rsidP="00447F64">
            <w:pPr>
              <w:spacing w:before="100" w:beforeAutospacing="1" w:after="100" w:afterAutospacing="1" w:line="240" w:lineRule="auto"/>
              <w:jc w:val="both"/>
              <w:rPr>
                <w:rFonts w:ascii="Arial" w:eastAsia="Times New Roman" w:hAnsi="Arial" w:cs="Arial"/>
                <w:i/>
                <w:iCs/>
                <w:sz w:val="24"/>
                <w:szCs w:val="24"/>
                <w:lang w:eastAsia="is-IS"/>
              </w:rPr>
            </w:pPr>
            <w:r w:rsidRPr="00447F64">
              <w:rPr>
                <w:rFonts w:ascii="Arial" w:eastAsia="Times New Roman" w:hAnsi="Arial" w:cs="Arial"/>
                <w:i/>
                <w:iCs/>
                <w:sz w:val="24"/>
                <w:szCs w:val="24"/>
                <w:lang w:eastAsia="is-IS"/>
              </w:rPr>
              <w:t xml:space="preserve">Binditímaaðferð (e. </w:t>
            </w:r>
            <w:proofErr w:type="spellStart"/>
            <w:r w:rsidRPr="00447F64">
              <w:rPr>
                <w:rFonts w:ascii="Arial" w:eastAsia="Times New Roman" w:hAnsi="Arial" w:cs="Arial"/>
                <w:i/>
                <w:iCs/>
                <w:sz w:val="24"/>
                <w:szCs w:val="24"/>
                <w:lang w:eastAsia="is-IS"/>
              </w:rPr>
              <w:t>maturity</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based</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method</w:t>
            </w:r>
            <w:proofErr w:type="spellEnd"/>
            <w:r w:rsidRPr="00447F64">
              <w:rPr>
                <w:rFonts w:ascii="Arial" w:eastAsia="Times New Roman" w:hAnsi="Arial" w:cs="Arial"/>
                <w:i/>
                <w:iCs/>
                <w:sz w:val="24"/>
                <w:szCs w:val="24"/>
                <w:lang w:eastAsia="is-IS"/>
              </w:rPr>
              <w:t>):</w:t>
            </w:r>
            <w:r w:rsidRPr="00447F64">
              <w:rPr>
                <w:rFonts w:ascii="Arial" w:eastAsia="Times New Roman" w:hAnsi="Arial" w:cs="Arial"/>
                <w:sz w:val="24"/>
                <w:szCs w:val="24"/>
                <w:lang w:eastAsia="is-IS"/>
              </w:rPr>
              <w:t xml:space="preserve"> Aðferð til að reikna vaxtaáhættu fjármálafyrirtækis sem tekur mið af binditíma þeirra markaðsskuldabréfa sem eru í </w:t>
            </w:r>
            <w:r w:rsidRPr="00447F64">
              <w:rPr>
                <w:rFonts w:ascii="Arial" w:eastAsia="Times New Roman" w:hAnsi="Arial" w:cs="Arial"/>
                <w:i/>
                <w:iCs/>
                <w:sz w:val="24"/>
                <w:szCs w:val="24"/>
                <w:lang w:eastAsia="is-IS"/>
              </w:rPr>
              <w:t>veltubók</w:t>
            </w:r>
            <w:r w:rsidRPr="00447F64">
              <w:rPr>
                <w:rFonts w:ascii="Arial" w:eastAsia="Times New Roman" w:hAnsi="Arial" w:cs="Arial"/>
                <w:sz w:val="24"/>
                <w:szCs w:val="24"/>
                <w:lang w:eastAsia="is-IS"/>
              </w:rPr>
              <w:t xml:space="preserve"> fjármálafyrirtækis. Binditími í þessu samhengi er binditími vaxtaprósentu og telst hann vera sá sami og eftirstöðvatími bréfsins þegar um er að ræða skuldabréf með föstum vöxtum. Ef um er að ræða ákvæði í skuldabréfi um að vextir geti tekið breytingum fyrir lokagjalddaga þá skal miða við þann tíma sem er til þess dags að vextir verða ákvarðaðir að nýju. Sjá einnig </w:t>
            </w:r>
            <w:r w:rsidRPr="00447F64">
              <w:rPr>
                <w:rFonts w:ascii="Arial" w:eastAsia="Times New Roman" w:hAnsi="Arial" w:cs="Arial"/>
                <w:i/>
                <w:iCs/>
                <w:sz w:val="24"/>
                <w:szCs w:val="24"/>
                <w:lang w:eastAsia="is-IS"/>
              </w:rPr>
              <w:t>rauntímaaðferð.</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i/>
                <w:iCs/>
                <w:sz w:val="24"/>
                <w:szCs w:val="24"/>
                <w:lang w:eastAsia="is-IS"/>
              </w:rPr>
              <w:t>Birgðafjármögnun:</w:t>
            </w:r>
            <w:r w:rsidRPr="00447F64">
              <w:rPr>
                <w:rFonts w:ascii="Arial" w:eastAsia="Times New Roman" w:hAnsi="Arial" w:cs="Arial"/>
                <w:sz w:val="24"/>
                <w:szCs w:val="24"/>
                <w:lang w:eastAsia="is-IS"/>
              </w:rPr>
              <w:t xml:space="preserve"> Stöður þar sem áþreifanlegar birgðir hafa verið seldar framvirkt og kostnaður við fjármögnunina hefur verið frystur fram að dagsetningu framvirku sölunnar.</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i/>
                <w:iCs/>
                <w:sz w:val="24"/>
                <w:szCs w:val="24"/>
                <w:lang w:eastAsia="is-IS"/>
              </w:rPr>
              <w:t xml:space="preserve">Breytanlegt verðbréf (e. </w:t>
            </w:r>
            <w:proofErr w:type="spellStart"/>
            <w:r w:rsidRPr="00447F64">
              <w:rPr>
                <w:rFonts w:ascii="Arial" w:eastAsia="Times New Roman" w:hAnsi="Arial" w:cs="Arial"/>
                <w:i/>
                <w:iCs/>
                <w:sz w:val="24"/>
                <w:szCs w:val="24"/>
                <w:lang w:eastAsia="is-IS"/>
              </w:rPr>
              <w:t>convertible</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security</w:t>
            </w:r>
            <w:proofErr w:type="spellEnd"/>
            <w:r w:rsidRPr="00447F64">
              <w:rPr>
                <w:rFonts w:ascii="Arial" w:eastAsia="Times New Roman" w:hAnsi="Arial" w:cs="Arial"/>
                <w:i/>
                <w:iCs/>
                <w:sz w:val="24"/>
                <w:szCs w:val="24"/>
                <w:lang w:eastAsia="is-IS"/>
              </w:rPr>
              <w:t>):</w:t>
            </w:r>
            <w:r w:rsidRPr="00447F64">
              <w:rPr>
                <w:rFonts w:ascii="Arial" w:eastAsia="Times New Roman" w:hAnsi="Arial" w:cs="Arial"/>
                <w:sz w:val="24"/>
                <w:szCs w:val="24"/>
                <w:lang w:eastAsia="is-IS"/>
              </w:rPr>
              <w:t xml:space="preserve"> Verðbréf sem að vali eiganda er </w:t>
            </w:r>
            <w:r w:rsidRPr="00447F64">
              <w:rPr>
                <w:rFonts w:ascii="Arial" w:eastAsia="Times New Roman" w:hAnsi="Arial" w:cs="Arial"/>
                <w:sz w:val="24"/>
                <w:szCs w:val="24"/>
                <w:lang w:eastAsia="is-IS"/>
              </w:rPr>
              <w:lastRenderedPageBreak/>
              <w:t xml:space="preserve">hægt að skipta fyrir annað verðbréf, oftast hlutabréf útgefanda. </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i/>
                <w:iCs/>
                <w:sz w:val="24"/>
                <w:szCs w:val="24"/>
                <w:lang w:eastAsia="is-IS"/>
              </w:rPr>
              <w:t>Delta stuðull valréttarsamnings:</w:t>
            </w:r>
            <w:r w:rsidRPr="00447F64">
              <w:rPr>
                <w:rFonts w:ascii="Arial" w:eastAsia="Times New Roman" w:hAnsi="Arial" w:cs="Arial"/>
                <w:sz w:val="24"/>
                <w:szCs w:val="24"/>
                <w:lang w:eastAsia="is-IS"/>
              </w:rPr>
              <w:t xml:space="preserve"> Með delta stuðli </w:t>
            </w:r>
            <w:r w:rsidRPr="00447F64">
              <w:rPr>
                <w:rFonts w:ascii="Arial" w:eastAsia="Times New Roman" w:hAnsi="Arial" w:cs="Arial"/>
                <w:i/>
                <w:iCs/>
                <w:sz w:val="24"/>
                <w:szCs w:val="24"/>
                <w:lang w:eastAsia="is-IS"/>
              </w:rPr>
              <w:t>valréttarsamnings</w:t>
            </w:r>
            <w:r w:rsidRPr="00447F64">
              <w:rPr>
                <w:rFonts w:ascii="Arial" w:eastAsia="Times New Roman" w:hAnsi="Arial" w:cs="Arial"/>
                <w:sz w:val="24"/>
                <w:szCs w:val="24"/>
                <w:lang w:eastAsia="is-IS"/>
              </w:rPr>
              <w:t xml:space="preserve"> er átt við áætlaða breytingu á virði valréttarsamnings sem hlutfall af minniháttar verðbreytingum á þeim undirliggjandi fjármálagerningum sem liggja til grundvallar valréttarsamningnum. Delta stuðull segir til um líkindi þess að valréttarsamningur hafi verðgildi á innlausnardegi.</w:t>
            </w:r>
          </w:p>
          <w:p w:rsidR="008317D6" w:rsidRPr="00447F64" w:rsidRDefault="00C23FF4"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iCs/>
                <w:sz w:val="24"/>
                <w:szCs w:val="24"/>
                <w:highlight w:val="lightGray"/>
                <w:lang w:eastAsia="is-IS"/>
              </w:rPr>
              <w:t>[</w:t>
            </w:r>
            <w:proofErr w:type="spellStart"/>
            <w:r w:rsidR="008317D6" w:rsidRPr="00447F64">
              <w:rPr>
                <w:rFonts w:ascii="Arial" w:eastAsia="Times New Roman" w:hAnsi="Arial" w:cs="Arial"/>
                <w:i/>
                <w:iCs/>
                <w:sz w:val="24"/>
                <w:szCs w:val="24"/>
                <w:highlight w:val="lightGray"/>
                <w:lang w:eastAsia="is-IS"/>
              </w:rPr>
              <w:t>Deltavirði</w:t>
            </w:r>
            <w:proofErr w:type="spellEnd"/>
            <w:r w:rsidR="008317D6" w:rsidRPr="00447F64">
              <w:rPr>
                <w:rFonts w:ascii="Arial" w:eastAsia="Times New Roman" w:hAnsi="Arial" w:cs="Arial"/>
                <w:i/>
                <w:iCs/>
                <w:sz w:val="24"/>
                <w:szCs w:val="24"/>
                <w:highlight w:val="lightGray"/>
                <w:lang w:eastAsia="is-IS"/>
              </w:rPr>
              <w:t xml:space="preserve"> valréttarsamninga</w:t>
            </w:r>
            <w:r w:rsidRPr="00447F64">
              <w:rPr>
                <w:rFonts w:ascii="Arial" w:eastAsia="Times New Roman" w:hAnsi="Arial" w:cs="Arial"/>
                <w:iCs/>
                <w:sz w:val="24"/>
                <w:szCs w:val="24"/>
                <w:lang w:eastAsia="is-IS"/>
              </w:rPr>
              <w:t>]</w:t>
            </w:r>
            <w:r w:rsidRPr="00447F64">
              <w:rPr>
                <w:rStyle w:val="FootnoteReference"/>
                <w:rFonts w:ascii="Arial" w:eastAsia="Times New Roman" w:hAnsi="Arial" w:cs="Arial"/>
                <w:iCs/>
                <w:sz w:val="24"/>
                <w:szCs w:val="24"/>
                <w:lang w:eastAsia="is-IS"/>
              </w:rPr>
              <w:footnoteReference w:id="2"/>
            </w:r>
            <w:r w:rsidR="008317D6" w:rsidRPr="00447F64">
              <w:rPr>
                <w:rFonts w:ascii="Arial" w:eastAsia="Times New Roman" w:hAnsi="Arial" w:cs="Arial"/>
                <w:i/>
                <w:iCs/>
                <w:sz w:val="24"/>
                <w:szCs w:val="24"/>
                <w:lang w:eastAsia="is-IS"/>
              </w:rPr>
              <w:t>:</w:t>
            </w:r>
            <w:r w:rsidR="008317D6" w:rsidRPr="00447F64">
              <w:rPr>
                <w:rFonts w:ascii="Arial" w:eastAsia="Times New Roman" w:hAnsi="Arial" w:cs="Arial"/>
                <w:sz w:val="24"/>
                <w:szCs w:val="24"/>
                <w:lang w:eastAsia="is-IS"/>
              </w:rPr>
              <w:t xml:space="preserve"> </w:t>
            </w:r>
            <w:proofErr w:type="spellStart"/>
            <w:r w:rsidR="008317D6" w:rsidRPr="00447F64">
              <w:rPr>
                <w:rFonts w:ascii="Arial" w:eastAsia="Times New Roman" w:hAnsi="Arial" w:cs="Arial"/>
                <w:sz w:val="24"/>
                <w:szCs w:val="24"/>
                <w:lang w:eastAsia="is-IS"/>
              </w:rPr>
              <w:t>Deltavirði</w:t>
            </w:r>
            <w:proofErr w:type="spellEnd"/>
            <w:r w:rsidR="008317D6" w:rsidRPr="00447F64">
              <w:rPr>
                <w:rFonts w:ascii="Arial" w:eastAsia="Times New Roman" w:hAnsi="Arial" w:cs="Arial"/>
                <w:sz w:val="24"/>
                <w:szCs w:val="24"/>
                <w:lang w:eastAsia="is-IS"/>
              </w:rPr>
              <w:t xml:space="preserve"> valréttarsamnings jafngildir fjárhæð undirliggjandi fjármálagernings sem </w:t>
            </w:r>
            <w:r w:rsidR="008317D6" w:rsidRPr="00447F64">
              <w:rPr>
                <w:rFonts w:ascii="Arial" w:eastAsia="Times New Roman" w:hAnsi="Arial" w:cs="Arial"/>
                <w:i/>
                <w:iCs/>
                <w:sz w:val="24"/>
                <w:szCs w:val="24"/>
                <w:lang w:eastAsia="is-IS"/>
              </w:rPr>
              <w:t>kaupréttur</w:t>
            </w:r>
            <w:r w:rsidR="008317D6" w:rsidRPr="00447F64">
              <w:rPr>
                <w:rFonts w:ascii="Arial" w:eastAsia="Times New Roman" w:hAnsi="Arial" w:cs="Arial"/>
                <w:sz w:val="24"/>
                <w:szCs w:val="24"/>
                <w:lang w:eastAsia="is-IS"/>
              </w:rPr>
              <w:t xml:space="preserve"> vísar til, margfaldað með </w:t>
            </w:r>
            <w:r w:rsidR="008317D6" w:rsidRPr="00447F64">
              <w:rPr>
                <w:rFonts w:ascii="Arial" w:eastAsia="Times New Roman" w:hAnsi="Arial" w:cs="Arial"/>
                <w:i/>
                <w:iCs/>
                <w:sz w:val="24"/>
                <w:szCs w:val="24"/>
                <w:lang w:eastAsia="is-IS"/>
              </w:rPr>
              <w:t>delta stuðli</w:t>
            </w:r>
            <w:r w:rsidR="008317D6" w:rsidRPr="00447F64">
              <w:rPr>
                <w:rFonts w:ascii="Arial" w:eastAsia="Times New Roman" w:hAnsi="Arial" w:cs="Arial"/>
                <w:sz w:val="24"/>
                <w:szCs w:val="24"/>
                <w:lang w:eastAsia="is-IS"/>
              </w:rPr>
              <w:t xml:space="preserve"> valréttar</w:t>
            </w:r>
            <w:r w:rsidR="008317D6" w:rsidRPr="00447F64">
              <w:rPr>
                <w:rFonts w:ascii="Arial" w:eastAsia="Times New Roman" w:hAnsi="Arial" w:cs="Arial"/>
                <w:sz w:val="24"/>
                <w:szCs w:val="24"/>
                <w:lang w:eastAsia="is-IS"/>
              </w:rPr>
              <w:softHyphen/>
              <w:t xml:space="preserve">samningsins. </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i/>
                <w:iCs/>
                <w:sz w:val="24"/>
                <w:szCs w:val="24"/>
                <w:lang w:eastAsia="is-IS"/>
              </w:rPr>
              <w:t xml:space="preserve">Eftirlitsstjórnvöld (e. </w:t>
            </w:r>
            <w:proofErr w:type="spellStart"/>
            <w:r w:rsidRPr="00447F64">
              <w:rPr>
                <w:rFonts w:ascii="Arial" w:eastAsia="Times New Roman" w:hAnsi="Arial" w:cs="Arial"/>
                <w:i/>
                <w:iCs/>
                <w:sz w:val="24"/>
                <w:szCs w:val="24"/>
                <w:lang w:eastAsia="is-IS"/>
              </w:rPr>
              <w:t>competent</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authorities</w:t>
            </w:r>
            <w:proofErr w:type="spellEnd"/>
            <w:r w:rsidRPr="00447F64">
              <w:rPr>
                <w:rFonts w:ascii="Arial" w:eastAsia="Times New Roman" w:hAnsi="Arial" w:cs="Arial"/>
                <w:i/>
                <w:iCs/>
                <w:sz w:val="24"/>
                <w:szCs w:val="24"/>
                <w:lang w:eastAsia="is-IS"/>
              </w:rPr>
              <w:t>)</w:t>
            </w:r>
            <w:r w:rsidRPr="00447F64">
              <w:rPr>
                <w:rFonts w:ascii="Arial" w:eastAsia="Times New Roman" w:hAnsi="Arial" w:cs="Arial"/>
                <w:sz w:val="24"/>
                <w:szCs w:val="24"/>
                <w:lang w:eastAsia="is-IS"/>
              </w:rPr>
              <w:t>. Þau stjórnvöld í hverju ríki sem hafa eftirlit með fjármálafyrirtækjum.</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i/>
                <w:iCs/>
                <w:sz w:val="24"/>
                <w:szCs w:val="24"/>
                <w:lang w:eastAsia="is-IS"/>
              </w:rPr>
              <w:t xml:space="preserve">Eftirstöðvatími: </w:t>
            </w:r>
            <w:r w:rsidRPr="00447F64">
              <w:rPr>
                <w:rFonts w:ascii="Arial" w:eastAsia="Times New Roman" w:hAnsi="Arial" w:cs="Arial"/>
                <w:sz w:val="24"/>
                <w:szCs w:val="24"/>
                <w:lang w:eastAsia="is-IS"/>
              </w:rPr>
              <w:t>Með eftirstöðvartíma er átt við þann tíma sem eftir er til gjalddaga skuldaskjals.</w:t>
            </w:r>
          </w:p>
          <w:p w:rsidR="008317D6" w:rsidRPr="00447F64" w:rsidRDefault="008317D6" w:rsidP="00447F64">
            <w:pPr>
              <w:spacing w:before="100" w:beforeAutospacing="1" w:after="100" w:afterAutospacing="1" w:line="240" w:lineRule="auto"/>
              <w:jc w:val="both"/>
              <w:rPr>
                <w:rFonts w:ascii="Arial" w:eastAsia="Times New Roman" w:hAnsi="Arial" w:cs="Arial"/>
                <w:i/>
                <w:iCs/>
                <w:sz w:val="24"/>
                <w:szCs w:val="24"/>
                <w:lang w:eastAsia="is-IS"/>
              </w:rPr>
            </w:pPr>
            <w:r w:rsidRPr="00447F64">
              <w:rPr>
                <w:rFonts w:ascii="Arial" w:eastAsia="Times New Roman" w:hAnsi="Arial" w:cs="Arial"/>
                <w:i/>
                <w:iCs/>
                <w:sz w:val="24"/>
                <w:szCs w:val="24"/>
                <w:lang w:eastAsia="is-IS"/>
              </w:rPr>
              <w:t xml:space="preserve">Fjárhæð áhættuskuldbindingar (e. </w:t>
            </w:r>
            <w:proofErr w:type="spellStart"/>
            <w:r w:rsidRPr="00447F64">
              <w:rPr>
                <w:rFonts w:ascii="Arial" w:eastAsia="Times New Roman" w:hAnsi="Arial" w:cs="Arial"/>
                <w:i/>
                <w:iCs/>
                <w:sz w:val="24"/>
                <w:szCs w:val="24"/>
                <w:lang w:eastAsia="is-IS"/>
              </w:rPr>
              <w:t>exposure</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value</w:t>
            </w:r>
            <w:proofErr w:type="spellEnd"/>
            <w:r w:rsidRPr="00447F64">
              <w:rPr>
                <w:rFonts w:ascii="Arial" w:eastAsia="Times New Roman" w:hAnsi="Arial" w:cs="Arial"/>
                <w:i/>
                <w:iCs/>
                <w:sz w:val="24"/>
                <w:szCs w:val="24"/>
                <w:lang w:eastAsia="is-IS"/>
              </w:rPr>
              <w:t>).</w:t>
            </w:r>
            <w:r w:rsidRPr="00447F64">
              <w:rPr>
                <w:rFonts w:ascii="Arial" w:eastAsia="Times New Roman" w:hAnsi="Arial" w:cs="Arial"/>
                <w:sz w:val="24"/>
                <w:szCs w:val="24"/>
                <w:lang w:eastAsia="is-IS"/>
              </w:rPr>
              <w:t xml:space="preserve"> Sjá </w:t>
            </w:r>
            <w:r w:rsidRPr="00447F64">
              <w:rPr>
                <w:rFonts w:ascii="Arial" w:eastAsia="Times New Roman" w:hAnsi="Arial" w:cs="Arial"/>
                <w:i/>
                <w:iCs/>
                <w:sz w:val="24"/>
                <w:szCs w:val="24"/>
                <w:lang w:eastAsia="is-IS"/>
              </w:rPr>
              <w:t>áhættuskuldbinding.</w:t>
            </w:r>
          </w:p>
          <w:p w:rsidR="008317D6" w:rsidRPr="00447F64" w:rsidRDefault="008317D6" w:rsidP="00447F64">
            <w:pPr>
              <w:spacing w:before="100" w:beforeAutospacing="1" w:after="100" w:afterAutospacing="1" w:line="240" w:lineRule="auto"/>
              <w:jc w:val="both"/>
              <w:rPr>
                <w:rFonts w:ascii="Arial" w:eastAsia="Times New Roman" w:hAnsi="Arial" w:cs="Arial"/>
                <w:i/>
                <w:iCs/>
                <w:sz w:val="24"/>
                <w:szCs w:val="24"/>
                <w:lang w:eastAsia="is-IS"/>
              </w:rPr>
            </w:pPr>
            <w:r w:rsidRPr="00447F64">
              <w:rPr>
                <w:rFonts w:ascii="Arial" w:eastAsia="Times New Roman" w:hAnsi="Arial" w:cs="Arial"/>
                <w:i/>
                <w:iCs/>
                <w:sz w:val="24"/>
                <w:szCs w:val="24"/>
                <w:lang w:eastAsia="is-IS"/>
              </w:rPr>
              <w:t>Fjármálagerningur:</w:t>
            </w:r>
          </w:p>
          <w:p w:rsidR="008317D6" w:rsidRPr="00447F64" w:rsidRDefault="008317D6" w:rsidP="00447F64">
            <w:pPr>
              <w:numPr>
                <w:ilvl w:val="0"/>
                <w:numId w:val="2"/>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Verðbréf, þ.e. hvers konar framseljanleg kröfuréttindi til peningagreiðslu eða ígildis hennar, svo og framseljanleg skilríki fyrir eignarréttindum að öðru en fasteign eða einstökum lausafjármunum, svo sem hlutabréf, skuldabréf, áskriftarréttindi, skiptanleg verðbréf og breytanleg verðbréf. </w:t>
            </w:r>
          </w:p>
          <w:p w:rsidR="008317D6" w:rsidRPr="00447F64" w:rsidRDefault="008317D6" w:rsidP="00447F64">
            <w:pPr>
              <w:numPr>
                <w:ilvl w:val="0"/>
                <w:numId w:val="2"/>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Afleiða, þ.e. samningur þar sem uppgjörsákvæði byggist á breytingu einhvers þáttar á tilteknu tímabili, svo sem vaxta, gengis gjaldmiðla, verðbréfaverðs, verðbréfavísitölu eða hrávöruverðs. Með afleiðu er m.a. átt við: </w:t>
            </w:r>
          </w:p>
          <w:p w:rsidR="008317D6" w:rsidRPr="00447F64" w:rsidRDefault="008317D6" w:rsidP="00447F64">
            <w:pPr>
              <w:numPr>
                <w:ilvl w:val="1"/>
                <w:numId w:val="2"/>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i/>
                <w:iCs/>
                <w:sz w:val="24"/>
                <w:szCs w:val="24"/>
                <w:lang w:eastAsia="is-IS"/>
              </w:rPr>
              <w:t>framvirkan óframseljanlegan fjármálagerning,</w:t>
            </w:r>
            <w:r w:rsidRPr="00447F64">
              <w:rPr>
                <w:rFonts w:ascii="Arial" w:eastAsia="Times New Roman" w:hAnsi="Arial" w:cs="Arial"/>
                <w:sz w:val="24"/>
                <w:szCs w:val="24"/>
                <w:lang w:eastAsia="is-IS"/>
              </w:rPr>
              <w:t xml:space="preserve"> þ.e. samning sem kveður á um skyldu samningsaðila til að kaupa eða selja tiltekna eign fyrir ákveðið verð á fyrirfram ákveðnum tíma, </w:t>
            </w:r>
          </w:p>
          <w:p w:rsidR="008317D6" w:rsidRPr="00447F64" w:rsidRDefault="008317D6" w:rsidP="00447F64">
            <w:pPr>
              <w:numPr>
                <w:ilvl w:val="1"/>
                <w:numId w:val="2"/>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i/>
                <w:iCs/>
                <w:sz w:val="24"/>
                <w:szCs w:val="24"/>
                <w:lang w:eastAsia="is-IS"/>
              </w:rPr>
              <w:t>framtíðarsamning,</w:t>
            </w:r>
            <w:r w:rsidRPr="00447F64">
              <w:rPr>
                <w:rFonts w:ascii="Arial" w:eastAsia="Times New Roman" w:hAnsi="Arial" w:cs="Arial"/>
                <w:sz w:val="24"/>
                <w:szCs w:val="24"/>
                <w:lang w:eastAsia="is-IS"/>
              </w:rPr>
              <w:t xml:space="preserve"> þ.e. staðlaðan og framseljanlegan samning sem kveður á um skyldu samningsaðila til að kaupa eða selja tiltekna eign fyrir ákveðið verð á fyrirfram ákveðnum tíma, </w:t>
            </w:r>
          </w:p>
          <w:p w:rsidR="008317D6" w:rsidRPr="00447F64" w:rsidRDefault="008317D6" w:rsidP="00447F64">
            <w:pPr>
              <w:numPr>
                <w:ilvl w:val="1"/>
                <w:numId w:val="2"/>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i/>
                <w:iCs/>
                <w:sz w:val="24"/>
                <w:szCs w:val="24"/>
                <w:lang w:eastAsia="is-IS"/>
              </w:rPr>
              <w:t>skiptasamning,</w:t>
            </w:r>
            <w:r w:rsidRPr="00447F64">
              <w:rPr>
                <w:rFonts w:ascii="Arial" w:eastAsia="Times New Roman" w:hAnsi="Arial" w:cs="Arial"/>
                <w:sz w:val="24"/>
                <w:szCs w:val="24"/>
                <w:lang w:eastAsia="is-IS"/>
              </w:rPr>
              <w:t xml:space="preserve"> þ.e. samning sem kveður á um að hvor samningsaðila greiði hinum fjárhæð sem tekur mið af breytingum á hvoru viðmiðinu fyrir sig á samningstímanum, </w:t>
            </w:r>
          </w:p>
          <w:p w:rsidR="008317D6" w:rsidRPr="00447F64" w:rsidRDefault="008317D6" w:rsidP="00447F64">
            <w:pPr>
              <w:numPr>
                <w:ilvl w:val="1"/>
                <w:numId w:val="2"/>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i/>
                <w:iCs/>
                <w:sz w:val="24"/>
                <w:szCs w:val="24"/>
                <w:lang w:eastAsia="is-IS"/>
              </w:rPr>
              <w:t>valréttarsamning,</w:t>
            </w:r>
            <w:r w:rsidRPr="00447F64">
              <w:rPr>
                <w:rFonts w:ascii="Arial" w:eastAsia="Times New Roman" w:hAnsi="Arial" w:cs="Arial"/>
                <w:sz w:val="24"/>
                <w:szCs w:val="24"/>
                <w:lang w:eastAsia="is-IS"/>
              </w:rPr>
              <w:t xml:space="preserve"> þ.e. samning sem veitir öðrum samningsaðila, kaupanda, rétt en ekki skyldu til að kaupa (kaupréttur) eða selja (söluréttur) tiltekna eign (andlag samnings) á fyrirfram ákveðnu verði (valréttargengi) á tilteknu tímamarki (lokadagur) eða innan tiltekinna tímamarka (gildistími valréttar). Sem endurgjald fyrir þennan rétt fær hinn samningsaðilinn, útgefandinn, ákveðið gjald sem segir til um markaðsvirði valréttarins við upphaf samningstímans. </w:t>
            </w:r>
          </w:p>
          <w:p w:rsidR="008317D6" w:rsidRPr="00447F64" w:rsidRDefault="008317D6" w:rsidP="00447F64">
            <w:pPr>
              <w:numPr>
                <w:ilvl w:val="0"/>
                <w:numId w:val="2"/>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Hlutdeildarskírteini. </w:t>
            </w:r>
          </w:p>
          <w:p w:rsidR="008317D6" w:rsidRPr="00447F64" w:rsidRDefault="008317D6" w:rsidP="00447F64">
            <w:pPr>
              <w:numPr>
                <w:ilvl w:val="0"/>
                <w:numId w:val="2"/>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lastRenderedPageBreak/>
              <w:t xml:space="preserve">Peningamarkaðsskjal. </w:t>
            </w:r>
          </w:p>
          <w:p w:rsidR="008317D6" w:rsidRPr="00447F64" w:rsidRDefault="008317D6" w:rsidP="00447F64">
            <w:pPr>
              <w:numPr>
                <w:ilvl w:val="0"/>
                <w:numId w:val="2"/>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Framseljanleg veðréttindi í fasteignum og lausafé.</w:t>
            </w:r>
          </w:p>
          <w:p w:rsidR="008317D6" w:rsidRPr="00447F64" w:rsidRDefault="008317D6" w:rsidP="00447F64">
            <w:pPr>
              <w:spacing w:before="100" w:beforeAutospacing="1" w:after="100" w:afterAutospacing="1" w:line="240" w:lineRule="auto"/>
              <w:jc w:val="both"/>
              <w:rPr>
                <w:rFonts w:ascii="Arial" w:eastAsia="Times New Roman" w:hAnsi="Arial" w:cs="Arial"/>
                <w:i/>
                <w:iCs/>
                <w:sz w:val="24"/>
                <w:szCs w:val="24"/>
                <w:lang w:eastAsia="is-IS"/>
              </w:rPr>
            </w:pPr>
            <w:r w:rsidRPr="00447F64">
              <w:rPr>
                <w:rFonts w:ascii="Arial" w:eastAsia="Times New Roman" w:hAnsi="Arial" w:cs="Arial"/>
                <w:i/>
                <w:iCs/>
                <w:sz w:val="24"/>
                <w:szCs w:val="24"/>
                <w:lang w:eastAsia="is-IS"/>
              </w:rPr>
              <w:t xml:space="preserve">Fjármögnuð útlánavörn (e. </w:t>
            </w:r>
            <w:proofErr w:type="spellStart"/>
            <w:r w:rsidRPr="00447F64">
              <w:rPr>
                <w:rFonts w:ascii="Arial" w:eastAsia="Times New Roman" w:hAnsi="Arial" w:cs="Arial"/>
                <w:i/>
                <w:iCs/>
                <w:sz w:val="24"/>
                <w:szCs w:val="24"/>
                <w:lang w:eastAsia="is-IS"/>
              </w:rPr>
              <w:t>funded</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credit</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protection</w:t>
            </w:r>
            <w:proofErr w:type="spellEnd"/>
            <w:r w:rsidRPr="00447F64">
              <w:rPr>
                <w:rFonts w:ascii="Arial" w:eastAsia="Times New Roman" w:hAnsi="Arial" w:cs="Arial"/>
                <w:i/>
                <w:iCs/>
                <w:sz w:val="24"/>
                <w:szCs w:val="24"/>
                <w:lang w:eastAsia="is-IS"/>
              </w:rPr>
              <w:t xml:space="preserve">): </w:t>
            </w:r>
            <w:r w:rsidRPr="00447F64">
              <w:rPr>
                <w:rFonts w:ascii="Arial" w:eastAsia="Times New Roman" w:hAnsi="Arial" w:cs="Arial"/>
                <w:sz w:val="24"/>
                <w:szCs w:val="24"/>
                <w:lang w:eastAsia="is-IS"/>
              </w:rPr>
              <w:t xml:space="preserve">Aðferð við mildun útlánaáhættu þar sem lánastofnun tekur eignir, efnislegar eða peningalegar, til tryggingar ef til vanefnda lántakanda kemur. Sjá einnig </w:t>
            </w:r>
            <w:r w:rsidRPr="00447F64">
              <w:rPr>
                <w:rFonts w:ascii="Arial" w:eastAsia="Times New Roman" w:hAnsi="Arial" w:cs="Arial"/>
                <w:i/>
                <w:iCs/>
                <w:sz w:val="24"/>
                <w:szCs w:val="24"/>
                <w:lang w:eastAsia="is-IS"/>
              </w:rPr>
              <w:t>ófjármögnuð útlánavörn.</w:t>
            </w:r>
          </w:p>
          <w:p w:rsidR="008317D6" w:rsidRPr="00447F64" w:rsidRDefault="008317D6" w:rsidP="00447F64">
            <w:pPr>
              <w:spacing w:before="100" w:beforeAutospacing="1" w:after="100" w:afterAutospacing="1" w:line="240" w:lineRule="auto"/>
              <w:jc w:val="both"/>
              <w:rPr>
                <w:rFonts w:ascii="Arial" w:eastAsia="Times New Roman" w:hAnsi="Arial" w:cs="Arial"/>
                <w:i/>
                <w:iCs/>
                <w:sz w:val="24"/>
                <w:szCs w:val="24"/>
                <w:lang w:eastAsia="is-IS"/>
              </w:rPr>
            </w:pPr>
            <w:r w:rsidRPr="00447F64">
              <w:rPr>
                <w:rFonts w:ascii="Arial" w:eastAsia="Times New Roman" w:hAnsi="Arial" w:cs="Arial"/>
                <w:i/>
                <w:iCs/>
                <w:sz w:val="24"/>
                <w:szCs w:val="24"/>
                <w:lang w:eastAsia="is-IS"/>
              </w:rPr>
              <w:t xml:space="preserve">Framvirk viðskipti (e. </w:t>
            </w:r>
            <w:proofErr w:type="spellStart"/>
            <w:r w:rsidRPr="00447F64">
              <w:rPr>
                <w:rFonts w:ascii="Arial" w:eastAsia="Times New Roman" w:hAnsi="Arial" w:cs="Arial"/>
                <w:i/>
                <w:iCs/>
                <w:sz w:val="24"/>
                <w:szCs w:val="24"/>
                <w:lang w:eastAsia="is-IS"/>
              </w:rPr>
              <w:t>forward</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transactions</w:t>
            </w:r>
            <w:proofErr w:type="spellEnd"/>
            <w:r w:rsidRPr="00447F64">
              <w:rPr>
                <w:rFonts w:ascii="Arial" w:eastAsia="Times New Roman" w:hAnsi="Arial" w:cs="Arial"/>
                <w:i/>
                <w:iCs/>
                <w:sz w:val="24"/>
                <w:szCs w:val="24"/>
                <w:lang w:eastAsia="is-IS"/>
              </w:rPr>
              <w:t xml:space="preserve">): </w:t>
            </w:r>
            <w:r w:rsidRPr="00447F64">
              <w:rPr>
                <w:rFonts w:ascii="Arial" w:eastAsia="Times New Roman" w:hAnsi="Arial" w:cs="Arial"/>
                <w:sz w:val="24"/>
                <w:szCs w:val="24"/>
                <w:lang w:eastAsia="is-IS"/>
              </w:rPr>
              <w:t xml:space="preserve">Viðskipti sem gerð eru upp þremur virkum dögum eftir upphafsdag þeirra eða síðar. Sjá einnig </w:t>
            </w:r>
            <w:r w:rsidRPr="00447F64">
              <w:rPr>
                <w:rFonts w:ascii="Arial" w:eastAsia="Times New Roman" w:hAnsi="Arial" w:cs="Arial"/>
                <w:i/>
                <w:iCs/>
                <w:sz w:val="24"/>
                <w:szCs w:val="24"/>
                <w:lang w:eastAsia="is-IS"/>
              </w:rPr>
              <w:t>núviðskipti.</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i/>
                <w:iCs/>
                <w:sz w:val="24"/>
                <w:szCs w:val="24"/>
                <w:lang w:eastAsia="is-IS"/>
              </w:rPr>
              <w:t xml:space="preserve">Framvirkur vaxtasamningur (e. FRA - </w:t>
            </w:r>
            <w:proofErr w:type="spellStart"/>
            <w:r w:rsidRPr="00447F64">
              <w:rPr>
                <w:rFonts w:ascii="Arial" w:eastAsia="Times New Roman" w:hAnsi="Arial" w:cs="Arial"/>
                <w:i/>
                <w:iCs/>
                <w:sz w:val="24"/>
                <w:szCs w:val="24"/>
                <w:lang w:eastAsia="is-IS"/>
              </w:rPr>
              <w:t>forward</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rate</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agreement</w:t>
            </w:r>
            <w:proofErr w:type="spellEnd"/>
            <w:r w:rsidRPr="00447F64">
              <w:rPr>
                <w:rFonts w:ascii="Arial" w:eastAsia="Times New Roman" w:hAnsi="Arial" w:cs="Arial"/>
                <w:i/>
                <w:iCs/>
                <w:sz w:val="24"/>
                <w:szCs w:val="24"/>
                <w:lang w:eastAsia="is-IS"/>
              </w:rPr>
              <w:t xml:space="preserve">): </w:t>
            </w:r>
            <w:r w:rsidRPr="00447F64">
              <w:rPr>
                <w:rFonts w:ascii="Arial" w:eastAsia="Times New Roman" w:hAnsi="Arial" w:cs="Arial"/>
                <w:sz w:val="24"/>
                <w:szCs w:val="24"/>
                <w:lang w:eastAsia="is-IS"/>
              </w:rPr>
              <w:t xml:space="preserve">Samningur sem kveður á um vaxtaviðmiðun yfir ákveðið tímabil og reiknast vextir af fyrirfram ákveðinni </w:t>
            </w:r>
            <w:r w:rsidRPr="00447F64">
              <w:rPr>
                <w:rFonts w:ascii="Arial" w:eastAsia="Times New Roman" w:hAnsi="Arial" w:cs="Arial"/>
                <w:i/>
                <w:iCs/>
                <w:sz w:val="24"/>
                <w:szCs w:val="24"/>
                <w:lang w:eastAsia="is-IS"/>
              </w:rPr>
              <w:t>grundvallarfjárhæð,</w:t>
            </w:r>
            <w:r w:rsidRPr="00447F64">
              <w:rPr>
                <w:rFonts w:ascii="Arial" w:eastAsia="Times New Roman" w:hAnsi="Arial" w:cs="Arial"/>
                <w:sz w:val="24"/>
                <w:szCs w:val="24"/>
                <w:lang w:eastAsia="is-IS"/>
              </w:rPr>
              <w:t xml:space="preserve"> sem ekki kemur til greiðslu á. Samningurinn er gerður upp í lok samningstímans á fyrirfram ákveðnum uppgjörsdegi.</w:t>
            </w:r>
          </w:p>
          <w:p w:rsidR="008317D6" w:rsidRPr="00447F64" w:rsidRDefault="008317D6" w:rsidP="00447F64">
            <w:pPr>
              <w:spacing w:before="100" w:beforeAutospacing="1" w:after="100" w:afterAutospacing="1" w:line="240" w:lineRule="auto"/>
              <w:jc w:val="both"/>
              <w:rPr>
                <w:rFonts w:ascii="Arial" w:eastAsia="Times New Roman" w:hAnsi="Arial" w:cs="Arial"/>
                <w:i/>
                <w:iCs/>
                <w:sz w:val="24"/>
                <w:szCs w:val="24"/>
                <w:lang w:eastAsia="is-IS"/>
              </w:rPr>
            </w:pPr>
            <w:r w:rsidRPr="00447F64">
              <w:rPr>
                <w:rFonts w:ascii="Arial" w:eastAsia="Times New Roman" w:hAnsi="Arial" w:cs="Arial"/>
                <w:i/>
                <w:iCs/>
                <w:sz w:val="24"/>
                <w:szCs w:val="24"/>
                <w:lang w:eastAsia="is-IS"/>
              </w:rPr>
              <w:t xml:space="preserve">Fyrirtæki tengt fjármálasviði: </w:t>
            </w:r>
            <w:r w:rsidRPr="00447F64">
              <w:rPr>
                <w:rFonts w:ascii="Arial" w:eastAsia="Times New Roman" w:hAnsi="Arial" w:cs="Arial"/>
                <w:sz w:val="24"/>
                <w:szCs w:val="24"/>
                <w:lang w:eastAsia="is-IS"/>
              </w:rPr>
              <w:t>Fyrirtæki sem ekki er lánastofnun og starfar einkum að öflun eignarhluta eða stundar einhverja eða alla þá starfsemi sem um getur í 2.-12. tölul. 1. mgr. 20. gr. laga nr. 161/2002, um fjármálafyrirtæki</w:t>
            </w:r>
            <w:r w:rsidRPr="00447F64">
              <w:rPr>
                <w:rFonts w:ascii="Arial" w:eastAsia="Times New Roman" w:hAnsi="Arial" w:cs="Arial"/>
                <w:i/>
                <w:iCs/>
                <w:sz w:val="24"/>
                <w:szCs w:val="24"/>
                <w:lang w:eastAsia="is-IS"/>
              </w:rPr>
              <w:t>.</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i/>
                <w:iCs/>
                <w:sz w:val="24"/>
                <w:szCs w:val="24"/>
                <w:lang w:eastAsia="is-IS"/>
              </w:rPr>
              <w:t xml:space="preserve">Gjaldmiðlaskiptasamningur (e. </w:t>
            </w:r>
            <w:proofErr w:type="spellStart"/>
            <w:r w:rsidRPr="00447F64">
              <w:rPr>
                <w:rFonts w:ascii="Arial" w:eastAsia="Times New Roman" w:hAnsi="Arial" w:cs="Arial"/>
                <w:i/>
                <w:iCs/>
                <w:sz w:val="24"/>
                <w:szCs w:val="24"/>
                <w:lang w:eastAsia="is-IS"/>
              </w:rPr>
              <w:t>currency</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swap</w:t>
            </w:r>
            <w:proofErr w:type="spellEnd"/>
            <w:r w:rsidRPr="00447F64">
              <w:rPr>
                <w:rFonts w:ascii="Arial" w:eastAsia="Times New Roman" w:hAnsi="Arial" w:cs="Arial"/>
                <w:i/>
                <w:iCs/>
                <w:sz w:val="24"/>
                <w:szCs w:val="24"/>
                <w:lang w:eastAsia="is-IS"/>
              </w:rPr>
              <w:t xml:space="preserve">): </w:t>
            </w:r>
            <w:r w:rsidRPr="00447F64">
              <w:rPr>
                <w:rFonts w:ascii="Arial" w:eastAsia="Times New Roman" w:hAnsi="Arial" w:cs="Arial"/>
                <w:sz w:val="24"/>
                <w:szCs w:val="24"/>
                <w:lang w:eastAsia="is-IS"/>
              </w:rPr>
              <w:t xml:space="preserve">Samningur sem kveður á um að samningsaðilar skipti á höfuðstólum tveggja mynta á </w:t>
            </w:r>
            <w:r w:rsidR="00C23FF4" w:rsidRPr="00447F64">
              <w:rPr>
                <w:rFonts w:ascii="Arial" w:eastAsia="Times New Roman" w:hAnsi="Arial" w:cs="Arial"/>
                <w:sz w:val="24"/>
                <w:szCs w:val="24"/>
                <w:lang w:eastAsia="is-IS"/>
              </w:rPr>
              <w:t>[</w:t>
            </w:r>
            <w:r w:rsidRPr="00447F64">
              <w:rPr>
                <w:rFonts w:ascii="Arial" w:eastAsia="Times New Roman" w:hAnsi="Arial" w:cs="Arial"/>
                <w:sz w:val="24"/>
                <w:szCs w:val="24"/>
                <w:lang w:eastAsia="is-IS"/>
              </w:rPr>
              <w:t>gengi á ákveðnum tímapunkti</w:t>
            </w:r>
            <w:r w:rsidR="00C23FF4" w:rsidRPr="00447F64">
              <w:rPr>
                <w:rFonts w:ascii="Arial" w:eastAsia="Times New Roman" w:hAnsi="Arial" w:cs="Arial"/>
                <w:sz w:val="24"/>
                <w:szCs w:val="24"/>
                <w:lang w:eastAsia="is-IS"/>
              </w:rPr>
              <w:t>]</w:t>
            </w:r>
            <w:r w:rsidR="00C23FF4" w:rsidRPr="00447F64">
              <w:rPr>
                <w:rStyle w:val="FootnoteReference"/>
                <w:rFonts w:ascii="Arial" w:eastAsia="Times New Roman" w:hAnsi="Arial" w:cs="Arial"/>
                <w:sz w:val="24"/>
                <w:szCs w:val="24"/>
                <w:lang w:eastAsia="is-IS"/>
              </w:rPr>
              <w:footnoteReference w:id="3"/>
            </w:r>
            <w:r w:rsidRPr="00447F64">
              <w:rPr>
                <w:rFonts w:ascii="Arial" w:eastAsia="Times New Roman" w:hAnsi="Arial" w:cs="Arial"/>
                <w:sz w:val="24"/>
                <w:szCs w:val="24"/>
                <w:lang w:eastAsia="is-IS"/>
              </w:rPr>
              <w:t xml:space="preserve"> í framtíðinni. Skipst er á höfuðstól í lokin, en oft einnig í upphafi samnings.</w:t>
            </w:r>
          </w:p>
          <w:p w:rsidR="008317D6" w:rsidRPr="00447F64" w:rsidRDefault="008317D6" w:rsidP="00447F64">
            <w:pPr>
              <w:spacing w:before="100" w:beforeAutospacing="1" w:after="100" w:afterAutospacing="1" w:line="240" w:lineRule="auto"/>
              <w:jc w:val="both"/>
              <w:rPr>
                <w:rFonts w:ascii="Arial" w:eastAsia="Times New Roman" w:hAnsi="Arial" w:cs="Arial"/>
                <w:i/>
                <w:iCs/>
                <w:sz w:val="24"/>
                <w:szCs w:val="24"/>
                <w:lang w:eastAsia="is-IS"/>
              </w:rPr>
            </w:pPr>
            <w:proofErr w:type="spellStart"/>
            <w:r w:rsidRPr="00447F64">
              <w:rPr>
                <w:rFonts w:ascii="Arial" w:eastAsia="Times New Roman" w:hAnsi="Arial" w:cs="Arial"/>
                <w:i/>
                <w:iCs/>
                <w:sz w:val="24"/>
                <w:szCs w:val="24"/>
                <w:lang w:eastAsia="is-IS"/>
              </w:rPr>
              <w:t>Gnóttstaða</w:t>
            </w:r>
            <w:proofErr w:type="spellEnd"/>
            <w:r w:rsidRPr="00447F64">
              <w:rPr>
                <w:rFonts w:ascii="Arial" w:eastAsia="Times New Roman" w:hAnsi="Arial" w:cs="Arial"/>
                <w:i/>
                <w:iCs/>
                <w:sz w:val="24"/>
                <w:szCs w:val="24"/>
                <w:lang w:eastAsia="is-IS"/>
              </w:rPr>
              <w:t xml:space="preserve"> (e. </w:t>
            </w:r>
            <w:proofErr w:type="spellStart"/>
            <w:r w:rsidRPr="00447F64">
              <w:rPr>
                <w:rFonts w:ascii="Arial" w:eastAsia="Times New Roman" w:hAnsi="Arial" w:cs="Arial"/>
                <w:i/>
                <w:iCs/>
                <w:sz w:val="24"/>
                <w:szCs w:val="24"/>
                <w:lang w:eastAsia="is-IS"/>
              </w:rPr>
              <w:t>long</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position</w:t>
            </w:r>
            <w:proofErr w:type="spellEnd"/>
            <w:r w:rsidRPr="00447F64">
              <w:rPr>
                <w:rFonts w:ascii="Arial" w:eastAsia="Times New Roman" w:hAnsi="Arial" w:cs="Arial"/>
                <w:i/>
                <w:iCs/>
                <w:sz w:val="24"/>
                <w:szCs w:val="24"/>
                <w:lang w:eastAsia="is-IS"/>
              </w:rPr>
              <w:t xml:space="preserve">): </w:t>
            </w:r>
            <w:r w:rsidRPr="00447F64">
              <w:rPr>
                <w:rFonts w:ascii="Arial" w:eastAsia="Times New Roman" w:hAnsi="Arial" w:cs="Arial"/>
                <w:sz w:val="24"/>
                <w:szCs w:val="24"/>
                <w:lang w:eastAsia="is-IS"/>
              </w:rPr>
              <w:t xml:space="preserve">Staða í fjármálaskjölum sem gefur eða getur í framtíðinni gefið fjármálafyrirtæki rétt eða skyldað það til að taka á móti greiðslu í peningum, verðbréfum eða öðrum eignum. </w:t>
            </w:r>
            <w:r w:rsidRPr="00447F64">
              <w:rPr>
                <w:rFonts w:ascii="Arial" w:eastAsia="Times New Roman" w:hAnsi="Arial" w:cs="Arial"/>
                <w:i/>
                <w:iCs/>
                <w:sz w:val="24"/>
                <w:szCs w:val="24"/>
                <w:lang w:eastAsia="is-IS"/>
              </w:rPr>
              <w:t>Sölu- og kaupréttur</w:t>
            </w:r>
            <w:r w:rsidRPr="00447F64">
              <w:rPr>
                <w:rFonts w:ascii="Arial" w:eastAsia="Times New Roman" w:hAnsi="Arial" w:cs="Arial"/>
                <w:sz w:val="24"/>
                <w:szCs w:val="24"/>
                <w:lang w:eastAsia="is-IS"/>
              </w:rPr>
              <w:t xml:space="preserve"> telst vera hluti af </w:t>
            </w:r>
            <w:proofErr w:type="spellStart"/>
            <w:r w:rsidRPr="00447F64">
              <w:rPr>
                <w:rFonts w:ascii="Arial" w:eastAsia="Times New Roman" w:hAnsi="Arial" w:cs="Arial"/>
                <w:sz w:val="24"/>
                <w:szCs w:val="24"/>
                <w:lang w:eastAsia="is-IS"/>
              </w:rPr>
              <w:t>gnóttstöðu</w:t>
            </w:r>
            <w:proofErr w:type="spellEnd"/>
            <w:r w:rsidRPr="00447F64">
              <w:rPr>
                <w:rFonts w:ascii="Arial" w:eastAsia="Times New Roman" w:hAnsi="Arial" w:cs="Arial"/>
                <w:sz w:val="24"/>
                <w:szCs w:val="24"/>
                <w:lang w:eastAsia="is-IS"/>
              </w:rPr>
              <w:t xml:space="preserve">. Sjá einnig </w:t>
            </w:r>
            <w:r w:rsidRPr="00447F64">
              <w:rPr>
                <w:rFonts w:ascii="Arial" w:eastAsia="Times New Roman" w:hAnsi="Arial" w:cs="Arial"/>
                <w:i/>
                <w:iCs/>
                <w:sz w:val="24"/>
                <w:szCs w:val="24"/>
                <w:lang w:eastAsia="is-IS"/>
              </w:rPr>
              <w:t>skortstaða.</w:t>
            </w:r>
          </w:p>
          <w:p w:rsidR="008317D6" w:rsidRPr="00447F64" w:rsidRDefault="008317D6" w:rsidP="00447F64">
            <w:pPr>
              <w:spacing w:before="100" w:beforeAutospacing="1" w:after="100" w:afterAutospacing="1" w:line="240" w:lineRule="auto"/>
              <w:jc w:val="both"/>
              <w:rPr>
                <w:rFonts w:ascii="Arial" w:eastAsia="Times New Roman" w:hAnsi="Arial" w:cs="Arial"/>
                <w:i/>
                <w:iCs/>
                <w:sz w:val="24"/>
                <w:szCs w:val="24"/>
                <w:lang w:eastAsia="is-IS"/>
              </w:rPr>
            </w:pPr>
            <w:r w:rsidRPr="00447F64">
              <w:rPr>
                <w:rFonts w:ascii="Arial" w:eastAsia="Times New Roman" w:hAnsi="Arial" w:cs="Arial"/>
                <w:i/>
                <w:iCs/>
                <w:sz w:val="24"/>
                <w:szCs w:val="24"/>
                <w:lang w:eastAsia="is-IS"/>
              </w:rPr>
              <w:t xml:space="preserve">Grundvallarfjárhæð afleiðusamnings (e. </w:t>
            </w:r>
            <w:proofErr w:type="spellStart"/>
            <w:r w:rsidRPr="00447F64">
              <w:rPr>
                <w:rFonts w:ascii="Arial" w:eastAsia="Times New Roman" w:hAnsi="Arial" w:cs="Arial"/>
                <w:i/>
                <w:iCs/>
                <w:sz w:val="24"/>
                <w:szCs w:val="24"/>
                <w:lang w:eastAsia="is-IS"/>
              </w:rPr>
              <w:t>notional</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principal</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notional</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position</w:t>
            </w:r>
            <w:proofErr w:type="spellEnd"/>
            <w:r w:rsidRPr="00447F64">
              <w:rPr>
                <w:rFonts w:ascii="Arial" w:eastAsia="Times New Roman" w:hAnsi="Arial" w:cs="Arial"/>
                <w:i/>
                <w:iCs/>
                <w:sz w:val="24"/>
                <w:szCs w:val="24"/>
                <w:lang w:eastAsia="is-IS"/>
              </w:rPr>
              <w:t xml:space="preserve">): </w:t>
            </w:r>
            <w:r w:rsidRPr="00447F64">
              <w:rPr>
                <w:rFonts w:ascii="Arial" w:eastAsia="Times New Roman" w:hAnsi="Arial" w:cs="Arial"/>
                <w:sz w:val="24"/>
                <w:szCs w:val="24"/>
                <w:lang w:eastAsia="is-IS"/>
              </w:rPr>
              <w:t xml:space="preserve">Sú fjárhæð, það verðbréf eða sú ímyndaða staða sem lögð er til grundvallar í </w:t>
            </w:r>
            <w:r w:rsidRPr="00447F64">
              <w:rPr>
                <w:rFonts w:ascii="Arial" w:eastAsia="Times New Roman" w:hAnsi="Arial" w:cs="Arial"/>
                <w:i/>
                <w:iCs/>
                <w:sz w:val="24"/>
                <w:szCs w:val="24"/>
                <w:lang w:eastAsia="is-IS"/>
              </w:rPr>
              <w:t>afleiðusamningi.</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i/>
                <w:iCs/>
                <w:sz w:val="24"/>
                <w:szCs w:val="24"/>
                <w:lang w:eastAsia="is-IS"/>
              </w:rPr>
              <w:t xml:space="preserve">Grunnvaxtaskiptasamningur (e. basis </w:t>
            </w:r>
            <w:proofErr w:type="spellStart"/>
            <w:r w:rsidRPr="00447F64">
              <w:rPr>
                <w:rFonts w:ascii="Arial" w:eastAsia="Times New Roman" w:hAnsi="Arial" w:cs="Arial"/>
                <w:i/>
                <w:iCs/>
                <w:sz w:val="24"/>
                <w:szCs w:val="24"/>
                <w:lang w:eastAsia="is-IS"/>
              </w:rPr>
              <w:t>interest</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rate</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swap</w:t>
            </w:r>
            <w:proofErr w:type="spellEnd"/>
            <w:r w:rsidRPr="00447F64">
              <w:rPr>
                <w:rFonts w:ascii="Arial" w:eastAsia="Times New Roman" w:hAnsi="Arial" w:cs="Arial"/>
                <w:i/>
                <w:iCs/>
                <w:sz w:val="24"/>
                <w:szCs w:val="24"/>
                <w:lang w:eastAsia="is-IS"/>
              </w:rPr>
              <w:t xml:space="preserve">): </w:t>
            </w:r>
            <w:r w:rsidRPr="00447F64">
              <w:rPr>
                <w:rFonts w:ascii="Arial" w:eastAsia="Times New Roman" w:hAnsi="Arial" w:cs="Arial"/>
                <w:sz w:val="24"/>
                <w:szCs w:val="24"/>
                <w:lang w:eastAsia="is-IS"/>
              </w:rPr>
              <w:t>Sjá vaxtaskiptasamningur.</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i/>
                <w:iCs/>
                <w:sz w:val="24"/>
                <w:szCs w:val="24"/>
                <w:lang w:eastAsia="is-IS"/>
              </w:rPr>
              <w:t xml:space="preserve">Hlutabréf: </w:t>
            </w:r>
            <w:r w:rsidRPr="00447F64">
              <w:rPr>
                <w:rFonts w:ascii="Arial" w:eastAsia="Times New Roman" w:hAnsi="Arial" w:cs="Arial"/>
                <w:sz w:val="24"/>
                <w:szCs w:val="24"/>
                <w:lang w:eastAsia="is-IS"/>
              </w:rPr>
              <w:t xml:space="preserve">Eignarhlutur í hlutafélagi. Í skilningi þessara reglna skal ennfremur telja til hlutabréfa þann hluta </w:t>
            </w:r>
            <w:r w:rsidRPr="00447F64">
              <w:rPr>
                <w:rFonts w:ascii="Arial" w:eastAsia="Times New Roman" w:hAnsi="Arial" w:cs="Arial"/>
                <w:i/>
                <w:iCs/>
                <w:sz w:val="24"/>
                <w:szCs w:val="24"/>
                <w:lang w:eastAsia="is-IS"/>
              </w:rPr>
              <w:t>afleiðusamninga</w:t>
            </w:r>
            <w:r w:rsidRPr="00447F64">
              <w:rPr>
                <w:rFonts w:ascii="Arial" w:eastAsia="Times New Roman" w:hAnsi="Arial" w:cs="Arial"/>
                <w:sz w:val="24"/>
                <w:szCs w:val="24"/>
                <w:lang w:eastAsia="is-IS"/>
              </w:rPr>
              <w:t xml:space="preserve"> í </w:t>
            </w:r>
            <w:r w:rsidRPr="00447F64">
              <w:rPr>
                <w:rFonts w:ascii="Arial" w:eastAsia="Times New Roman" w:hAnsi="Arial" w:cs="Arial"/>
                <w:i/>
                <w:iCs/>
                <w:sz w:val="24"/>
                <w:szCs w:val="24"/>
                <w:lang w:eastAsia="is-IS"/>
              </w:rPr>
              <w:t>veltubók</w:t>
            </w:r>
            <w:r w:rsidRPr="00447F64">
              <w:rPr>
                <w:rFonts w:ascii="Arial" w:eastAsia="Times New Roman" w:hAnsi="Arial" w:cs="Arial"/>
                <w:sz w:val="24"/>
                <w:szCs w:val="24"/>
                <w:lang w:eastAsia="is-IS"/>
              </w:rPr>
              <w:t xml:space="preserve"> fjármálafyrirtækis sem tengdur er hlutabréfum, gengi hlutabréfa eða þróun hlutabréfavísitölu.</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i/>
                <w:iCs/>
                <w:sz w:val="24"/>
                <w:szCs w:val="24"/>
                <w:lang w:eastAsia="is-IS"/>
              </w:rPr>
              <w:t xml:space="preserve">Hrein gjaldeyrisstaða fjármálafyrirtækis (e. </w:t>
            </w:r>
            <w:proofErr w:type="spellStart"/>
            <w:r w:rsidRPr="00447F64">
              <w:rPr>
                <w:rFonts w:ascii="Arial" w:eastAsia="Times New Roman" w:hAnsi="Arial" w:cs="Arial"/>
                <w:i/>
                <w:iCs/>
                <w:sz w:val="24"/>
                <w:szCs w:val="24"/>
                <w:lang w:eastAsia="is-IS"/>
              </w:rPr>
              <w:t>an</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institution</w:t>
            </w:r>
            <w:proofErr w:type="spellEnd"/>
            <w:r w:rsidRPr="00447F64">
              <w:rPr>
                <w:rFonts w:ascii="Arial" w:eastAsia="Times New Roman" w:hAnsi="Arial" w:cs="Arial"/>
                <w:i/>
                <w:iCs/>
                <w:sz w:val="24"/>
                <w:szCs w:val="24"/>
                <w:lang w:eastAsia="is-IS"/>
              </w:rPr>
              <w:t xml:space="preserve">’s </w:t>
            </w:r>
            <w:proofErr w:type="spellStart"/>
            <w:r w:rsidRPr="00447F64">
              <w:rPr>
                <w:rFonts w:ascii="Arial" w:eastAsia="Times New Roman" w:hAnsi="Arial" w:cs="Arial"/>
                <w:i/>
                <w:iCs/>
                <w:sz w:val="24"/>
                <w:szCs w:val="24"/>
                <w:lang w:eastAsia="is-IS"/>
              </w:rPr>
              <w:t>overall</w:t>
            </w:r>
            <w:proofErr w:type="spellEnd"/>
            <w:r w:rsidRPr="00447F64">
              <w:rPr>
                <w:rFonts w:ascii="Arial" w:eastAsia="Times New Roman" w:hAnsi="Arial" w:cs="Arial"/>
                <w:i/>
                <w:iCs/>
                <w:sz w:val="24"/>
                <w:szCs w:val="24"/>
                <w:lang w:eastAsia="is-IS"/>
              </w:rPr>
              <w:t xml:space="preserve"> net foreign </w:t>
            </w:r>
            <w:proofErr w:type="spellStart"/>
            <w:r w:rsidRPr="00447F64">
              <w:rPr>
                <w:rFonts w:ascii="Arial" w:eastAsia="Times New Roman" w:hAnsi="Arial" w:cs="Arial"/>
                <w:i/>
                <w:iCs/>
                <w:sz w:val="24"/>
                <w:szCs w:val="24"/>
                <w:lang w:eastAsia="is-IS"/>
              </w:rPr>
              <w:t>exchange</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position</w:t>
            </w:r>
            <w:proofErr w:type="spellEnd"/>
            <w:r w:rsidRPr="00447F64">
              <w:rPr>
                <w:rFonts w:ascii="Arial" w:eastAsia="Times New Roman" w:hAnsi="Arial" w:cs="Arial"/>
                <w:i/>
                <w:iCs/>
                <w:sz w:val="24"/>
                <w:szCs w:val="24"/>
                <w:lang w:eastAsia="is-IS"/>
              </w:rPr>
              <w:t>):</w:t>
            </w:r>
            <w:r w:rsidRPr="00447F64">
              <w:rPr>
                <w:rFonts w:ascii="Arial" w:eastAsia="Times New Roman" w:hAnsi="Arial" w:cs="Arial"/>
                <w:sz w:val="24"/>
                <w:szCs w:val="24"/>
                <w:lang w:eastAsia="is-IS"/>
              </w:rPr>
              <w:t xml:space="preserve"> Hærri fjárhæðin af tveimur, samanlögð </w:t>
            </w:r>
            <w:r w:rsidRPr="00447F64">
              <w:rPr>
                <w:rFonts w:ascii="Arial" w:eastAsia="Times New Roman" w:hAnsi="Arial" w:cs="Arial"/>
                <w:i/>
                <w:iCs/>
                <w:sz w:val="24"/>
                <w:szCs w:val="24"/>
                <w:lang w:eastAsia="is-IS"/>
              </w:rPr>
              <w:t>opin gjaldeyrisstaða</w:t>
            </w:r>
            <w:r w:rsidRPr="00447F64">
              <w:rPr>
                <w:rFonts w:ascii="Arial" w:eastAsia="Times New Roman" w:hAnsi="Arial" w:cs="Arial"/>
                <w:sz w:val="24"/>
                <w:szCs w:val="24"/>
                <w:lang w:eastAsia="is-IS"/>
              </w:rPr>
              <w:t xml:space="preserve"> í þeim gjaldmiðlum þar sem um nettó </w:t>
            </w:r>
            <w:proofErr w:type="spellStart"/>
            <w:r w:rsidRPr="00447F64">
              <w:rPr>
                <w:rFonts w:ascii="Arial" w:eastAsia="Times New Roman" w:hAnsi="Arial" w:cs="Arial"/>
                <w:sz w:val="24"/>
                <w:szCs w:val="24"/>
                <w:lang w:eastAsia="is-IS"/>
              </w:rPr>
              <w:t>gnóttstöðu</w:t>
            </w:r>
            <w:proofErr w:type="spellEnd"/>
            <w:r w:rsidRPr="00447F64">
              <w:rPr>
                <w:rFonts w:ascii="Arial" w:eastAsia="Times New Roman" w:hAnsi="Arial" w:cs="Arial"/>
                <w:sz w:val="24"/>
                <w:szCs w:val="24"/>
                <w:lang w:eastAsia="is-IS"/>
              </w:rPr>
              <w:t xml:space="preserve"> er að ræða eða samanlögð </w:t>
            </w:r>
            <w:r w:rsidRPr="00447F64">
              <w:rPr>
                <w:rFonts w:ascii="Arial" w:eastAsia="Times New Roman" w:hAnsi="Arial" w:cs="Arial"/>
                <w:i/>
                <w:iCs/>
                <w:sz w:val="24"/>
                <w:szCs w:val="24"/>
                <w:lang w:eastAsia="is-IS"/>
              </w:rPr>
              <w:t>opin gjaldeyrisstaða</w:t>
            </w:r>
            <w:r w:rsidRPr="00447F64">
              <w:rPr>
                <w:rFonts w:ascii="Arial" w:eastAsia="Times New Roman" w:hAnsi="Arial" w:cs="Arial"/>
                <w:sz w:val="24"/>
                <w:szCs w:val="24"/>
                <w:lang w:eastAsia="is-IS"/>
              </w:rPr>
              <w:t xml:space="preserve"> þeirra gjaldmiðla þar sem um nettó skortstöðu er að ræða.</w:t>
            </w:r>
          </w:p>
          <w:p w:rsidR="008317D6" w:rsidRPr="00447F64" w:rsidRDefault="008317D6" w:rsidP="00447F64">
            <w:pPr>
              <w:spacing w:before="100" w:beforeAutospacing="1" w:after="100" w:afterAutospacing="1" w:line="240" w:lineRule="auto"/>
              <w:jc w:val="both"/>
              <w:rPr>
                <w:rFonts w:ascii="Arial" w:eastAsia="Times New Roman" w:hAnsi="Arial" w:cs="Arial"/>
                <w:i/>
                <w:iCs/>
                <w:sz w:val="24"/>
                <w:szCs w:val="24"/>
                <w:lang w:eastAsia="is-IS"/>
              </w:rPr>
            </w:pPr>
            <w:r w:rsidRPr="00447F64">
              <w:rPr>
                <w:rFonts w:ascii="Arial" w:eastAsia="Times New Roman" w:hAnsi="Arial" w:cs="Arial"/>
                <w:i/>
                <w:iCs/>
                <w:sz w:val="24"/>
                <w:szCs w:val="24"/>
                <w:lang w:eastAsia="is-IS"/>
              </w:rPr>
              <w:t xml:space="preserve">Kaupréttur (e. </w:t>
            </w:r>
            <w:proofErr w:type="spellStart"/>
            <w:r w:rsidRPr="00447F64">
              <w:rPr>
                <w:rFonts w:ascii="Arial" w:eastAsia="Times New Roman" w:hAnsi="Arial" w:cs="Arial"/>
                <w:i/>
                <w:iCs/>
                <w:sz w:val="24"/>
                <w:szCs w:val="24"/>
                <w:lang w:eastAsia="is-IS"/>
              </w:rPr>
              <w:t>call</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option</w:t>
            </w:r>
            <w:proofErr w:type="spellEnd"/>
            <w:r w:rsidRPr="00447F64">
              <w:rPr>
                <w:rFonts w:ascii="Arial" w:eastAsia="Times New Roman" w:hAnsi="Arial" w:cs="Arial"/>
                <w:i/>
                <w:iCs/>
                <w:sz w:val="24"/>
                <w:szCs w:val="24"/>
                <w:lang w:eastAsia="is-IS"/>
              </w:rPr>
              <w:t xml:space="preserve">): </w:t>
            </w:r>
            <w:r w:rsidRPr="00447F64">
              <w:rPr>
                <w:rFonts w:ascii="Arial" w:eastAsia="Times New Roman" w:hAnsi="Arial" w:cs="Arial"/>
                <w:sz w:val="24"/>
                <w:szCs w:val="24"/>
                <w:lang w:eastAsia="is-IS"/>
              </w:rPr>
              <w:t xml:space="preserve">Réttur til að kaupa vöru, verðbréf eða gjaldeyri á fyrirfram ákveðnu verði, annaðhvort á ákveðnum degi eða fyrir ákveðinn dag. Slíkur samningur er bindandi fyrir þann sem selur slíkan samning en kaupandi </w:t>
            </w:r>
            <w:r w:rsidRPr="00447F64">
              <w:rPr>
                <w:rFonts w:ascii="Arial" w:eastAsia="Times New Roman" w:hAnsi="Arial" w:cs="Arial"/>
                <w:sz w:val="24"/>
                <w:szCs w:val="24"/>
                <w:lang w:eastAsia="is-IS"/>
              </w:rPr>
              <w:lastRenderedPageBreak/>
              <w:t>getur valið hvort hann nýtir sér réttinn eða ekki. Sjá einnig</w:t>
            </w:r>
            <w:r w:rsidRPr="00447F64">
              <w:rPr>
                <w:rFonts w:ascii="Arial" w:eastAsia="Times New Roman" w:hAnsi="Arial" w:cs="Arial"/>
                <w:i/>
                <w:iCs/>
                <w:sz w:val="24"/>
                <w:szCs w:val="24"/>
                <w:lang w:eastAsia="is-IS"/>
              </w:rPr>
              <w:t xml:space="preserve"> valréttur og söluréttur.</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i/>
                <w:iCs/>
                <w:sz w:val="24"/>
                <w:szCs w:val="24"/>
                <w:lang w:eastAsia="is-IS"/>
              </w:rPr>
              <w:t xml:space="preserve">Lag eignasafns vegna </w:t>
            </w:r>
            <w:proofErr w:type="spellStart"/>
            <w:r w:rsidRPr="00447F64">
              <w:rPr>
                <w:rFonts w:ascii="Arial" w:eastAsia="Times New Roman" w:hAnsi="Arial" w:cs="Arial"/>
                <w:i/>
                <w:iCs/>
                <w:sz w:val="24"/>
                <w:szCs w:val="24"/>
                <w:lang w:eastAsia="is-IS"/>
              </w:rPr>
              <w:t>verðbréfunar</w:t>
            </w:r>
            <w:proofErr w:type="spellEnd"/>
            <w:r w:rsidRPr="00447F64">
              <w:rPr>
                <w:rFonts w:ascii="Arial" w:eastAsia="Times New Roman" w:hAnsi="Arial" w:cs="Arial"/>
                <w:i/>
                <w:iCs/>
                <w:sz w:val="24"/>
                <w:szCs w:val="24"/>
                <w:lang w:eastAsia="is-IS"/>
              </w:rPr>
              <w:t xml:space="preserve"> (e.</w:t>
            </w:r>
            <w:r w:rsidRPr="00447F64">
              <w:rPr>
                <w:rFonts w:ascii="Arial" w:eastAsia="Times New Roman" w:hAnsi="Arial" w:cs="Arial"/>
                <w:sz w:val="24"/>
                <w:szCs w:val="24"/>
                <w:lang w:eastAsia="is-IS"/>
              </w:rPr>
              <w:t xml:space="preserve"> </w:t>
            </w:r>
            <w:proofErr w:type="spellStart"/>
            <w:r w:rsidRPr="00447F64">
              <w:rPr>
                <w:rFonts w:ascii="Arial" w:eastAsia="Times New Roman" w:hAnsi="Arial" w:cs="Arial"/>
                <w:i/>
                <w:iCs/>
                <w:sz w:val="24"/>
                <w:szCs w:val="24"/>
                <w:lang w:eastAsia="is-IS"/>
              </w:rPr>
              <w:t>tranche</w:t>
            </w:r>
            <w:proofErr w:type="spellEnd"/>
            <w:r w:rsidRPr="00447F64">
              <w:rPr>
                <w:rFonts w:ascii="Arial" w:eastAsia="Times New Roman" w:hAnsi="Arial" w:cs="Arial"/>
                <w:i/>
                <w:iCs/>
                <w:sz w:val="24"/>
                <w:szCs w:val="24"/>
                <w:lang w:eastAsia="is-IS"/>
              </w:rPr>
              <w:t xml:space="preserve">): </w:t>
            </w:r>
            <w:r w:rsidRPr="00447F64">
              <w:rPr>
                <w:rFonts w:ascii="Arial" w:eastAsia="Times New Roman" w:hAnsi="Arial" w:cs="Arial"/>
                <w:sz w:val="24"/>
                <w:szCs w:val="24"/>
                <w:lang w:eastAsia="is-IS"/>
              </w:rPr>
              <w:t>Samningsbundinn hluti lánaáhættu tengdur kröfu eða kröfusafni þar sem staða í einu lagi leiðir af sér lánaáhættu sem er meiri eða minni en staða í öðrum lögum safnsins sömu fjárhæðar.</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i/>
                <w:iCs/>
                <w:sz w:val="24"/>
                <w:szCs w:val="24"/>
                <w:lang w:eastAsia="is-IS"/>
              </w:rPr>
              <w:t xml:space="preserve">Lánastofnun: </w:t>
            </w:r>
            <w:r w:rsidRPr="00447F64">
              <w:rPr>
                <w:rFonts w:ascii="Arial" w:eastAsia="Times New Roman" w:hAnsi="Arial" w:cs="Arial"/>
                <w:sz w:val="24"/>
                <w:szCs w:val="24"/>
                <w:lang w:eastAsia="is-IS"/>
              </w:rPr>
              <w:t>Fyrirtæki sem fengið hefur starfsleyfi skv. 1.-4. tölul. 1. mgr. 4. gr. laga nr. 161/2002 um fjármálafyrirtæki.</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i/>
                <w:iCs/>
                <w:sz w:val="24"/>
                <w:szCs w:val="24"/>
                <w:lang w:eastAsia="is-IS"/>
              </w:rPr>
              <w:t xml:space="preserve">Lánaafleiður (e. </w:t>
            </w:r>
            <w:proofErr w:type="spellStart"/>
            <w:r w:rsidRPr="00447F64">
              <w:rPr>
                <w:rFonts w:ascii="Arial" w:eastAsia="Times New Roman" w:hAnsi="Arial" w:cs="Arial"/>
                <w:i/>
                <w:iCs/>
                <w:sz w:val="24"/>
                <w:szCs w:val="24"/>
                <w:lang w:eastAsia="is-IS"/>
              </w:rPr>
              <w:t>credit</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derivatives</w:t>
            </w:r>
            <w:proofErr w:type="spellEnd"/>
            <w:r w:rsidRPr="00447F64">
              <w:rPr>
                <w:rFonts w:ascii="Arial" w:eastAsia="Times New Roman" w:hAnsi="Arial" w:cs="Arial"/>
                <w:i/>
                <w:iCs/>
                <w:sz w:val="24"/>
                <w:szCs w:val="24"/>
                <w:lang w:eastAsia="is-IS"/>
              </w:rPr>
              <w:t xml:space="preserve">): </w:t>
            </w:r>
            <w:r w:rsidRPr="00447F64">
              <w:rPr>
                <w:rFonts w:ascii="Arial" w:eastAsia="Times New Roman" w:hAnsi="Arial" w:cs="Arial"/>
                <w:sz w:val="24"/>
                <w:szCs w:val="24"/>
                <w:lang w:eastAsia="is-IS"/>
              </w:rPr>
              <w:t>Afleiðusamningar þar sem uppgjör/greiðsla er háð lánstrausti lántakanda, t.d. CDS.</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i/>
                <w:iCs/>
                <w:sz w:val="24"/>
                <w:szCs w:val="24"/>
                <w:lang w:eastAsia="is-IS"/>
              </w:rPr>
              <w:t xml:space="preserve">Liðir utan veltubókar (e. </w:t>
            </w:r>
            <w:proofErr w:type="spellStart"/>
            <w:r w:rsidRPr="00447F64">
              <w:rPr>
                <w:rFonts w:ascii="Arial" w:eastAsia="Times New Roman" w:hAnsi="Arial" w:cs="Arial"/>
                <w:i/>
                <w:iCs/>
                <w:sz w:val="24"/>
                <w:szCs w:val="24"/>
                <w:lang w:eastAsia="is-IS"/>
              </w:rPr>
              <w:t>banking</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book</w:t>
            </w:r>
            <w:proofErr w:type="spellEnd"/>
            <w:r w:rsidRPr="00447F64">
              <w:rPr>
                <w:rFonts w:ascii="Arial" w:eastAsia="Times New Roman" w:hAnsi="Arial" w:cs="Arial"/>
                <w:i/>
                <w:iCs/>
                <w:sz w:val="24"/>
                <w:szCs w:val="24"/>
                <w:lang w:eastAsia="is-IS"/>
              </w:rPr>
              <w:t>):</w:t>
            </w:r>
            <w:r w:rsidRPr="00447F64">
              <w:rPr>
                <w:rFonts w:ascii="Arial" w:eastAsia="Times New Roman" w:hAnsi="Arial" w:cs="Arial"/>
                <w:sz w:val="24"/>
                <w:szCs w:val="24"/>
                <w:lang w:eastAsia="is-IS"/>
              </w:rPr>
              <w:t xml:space="preserve"> Allir þeir liðir innan og utan efnahagsreiknings fjármálafyrirtækis sem ekki teljast til veltubókar.</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i/>
                <w:iCs/>
                <w:sz w:val="24"/>
                <w:szCs w:val="24"/>
                <w:lang w:eastAsia="is-IS"/>
              </w:rPr>
              <w:t>Líkur á vanefndum (e.</w:t>
            </w:r>
            <w:r w:rsidRPr="00447F64">
              <w:rPr>
                <w:rFonts w:ascii="Arial" w:eastAsia="Times New Roman" w:hAnsi="Arial" w:cs="Arial"/>
                <w:sz w:val="24"/>
                <w:szCs w:val="24"/>
                <w:lang w:eastAsia="is-IS"/>
              </w:rPr>
              <w:t xml:space="preserve"> </w:t>
            </w:r>
            <w:proofErr w:type="spellStart"/>
            <w:r w:rsidRPr="00447F64">
              <w:rPr>
                <w:rFonts w:ascii="Arial" w:eastAsia="Times New Roman" w:hAnsi="Arial" w:cs="Arial"/>
                <w:i/>
                <w:iCs/>
                <w:sz w:val="24"/>
                <w:szCs w:val="24"/>
                <w:lang w:eastAsia="is-IS"/>
              </w:rPr>
              <w:t>probability</w:t>
            </w:r>
            <w:proofErr w:type="spellEnd"/>
            <w:r w:rsidRPr="00447F64">
              <w:rPr>
                <w:rFonts w:ascii="Arial" w:eastAsia="Times New Roman" w:hAnsi="Arial" w:cs="Arial"/>
                <w:i/>
                <w:iCs/>
                <w:sz w:val="24"/>
                <w:szCs w:val="24"/>
                <w:lang w:eastAsia="is-IS"/>
              </w:rPr>
              <w:t xml:space="preserve"> of </w:t>
            </w:r>
            <w:proofErr w:type="spellStart"/>
            <w:r w:rsidRPr="00447F64">
              <w:rPr>
                <w:rFonts w:ascii="Arial" w:eastAsia="Times New Roman" w:hAnsi="Arial" w:cs="Arial"/>
                <w:i/>
                <w:iCs/>
                <w:sz w:val="24"/>
                <w:szCs w:val="24"/>
                <w:lang w:eastAsia="is-IS"/>
              </w:rPr>
              <w:t>default</w:t>
            </w:r>
            <w:proofErr w:type="spellEnd"/>
            <w:r w:rsidRPr="00447F64">
              <w:rPr>
                <w:rFonts w:ascii="Arial" w:eastAsia="Times New Roman" w:hAnsi="Arial" w:cs="Arial"/>
                <w:i/>
                <w:iCs/>
                <w:sz w:val="24"/>
                <w:szCs w:val="24"/>
                <w:lang w:eastAsia="is-IS"/>
              </w:rPr>
              <w:t xml:space="preserve">, PD): </w:t>
            </w:r>
            <w:r w:rsidRPr="00447F64">
              <w:rPr>
                <w:rFonts w:ascii="Arial" w:eastAsia="Times New Roman" w:hAnsi="Arial" w:cs="Arial"/>
                <w:sz w:val="24"/>
                <w:szCs w:val="24"/>
                <w:lang w:eastAsia="is-IS"/>
              </w:rPr>
              <w:t>Líkur á vanefndum mótaðila yfir eins árs tímabil.</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i/>
                <w:iCs/>
                <w:sz w:val="24"/>
                <w:szCs w:val="24"/>
                <w:lang w:eastAsia="is-IS"/>
              </w:rPr>
              <w:t xml:space="preserve">Markaðsáhætta (e. market risk): </w:t>
            </w:r>
            <w:r w:rsidRPr="00447F64">
              <w:rPr>
                <w:rFonts w:ascii="Arial" w:eastAsia="Times New Roman" w:hAnsi="Arial" w:cs="Arial"/>
                <w:sz w:val="24"/>
                <w:szCs w:val="24"/>
                <w:lang w:eastAsia="is-IS"/>
              </w:rPr>
              <w:t>Áhætta fjármálafyrirtækis á fjárhagslegu tapi vegna liða innan og utan efnahagsreiknings vegna breytinga á markaðsvirði þessara liða, þar á meðal breytingar á vöxtum, gengi gjaldmiðla eða virði hlutabréfa.</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i/>
                <w:iCs/>
                <w:sz w:val="24"/>
                <w:szCs w:val="24"/>
                <w:lang w:eastAsia="is-IS"/>
              </w:rPr>
              <w:t xml:space="preserve">Markaðsverðbréf: </w:t>
            </w:r>
            <w:r w:rsidRPr="00447F64">
              <w:rPr>
                <w:rFonts w:ascii="Arial" w:eastAsia="Times New Roman" w:hAnsi="Arial" w:cs="Arial"/>
                <w:sz w:val="24"/>
                <w:szCs w:val="24"/>
                <w:lang w:eastAsia="is-IS"/>
              </w:rPr>
              <w:t>Framseljanlegt verðbréf (skuldabréf, hlutabréf eða hlutdeildarskírteini) sem boðið er einstaklingum og/eða lögaðilum til kaups með útboði þar sem öll helstu einkenni bréfa í hverjum flokki eru hin sömu, þar á meðal nafn útgefanda (skuldara), fyrsti vaxtadagur og endurgreiðslu-, vaxta- og uppsagnarákvæði eftir því sem við á.</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i/>
                <w:iCs/>
                <w:sz w:val="24"/>
                <w:szCs w:val="24"/>
                <w:lang w:eastAsia="is-IS"/>
              </w:rPr>
              <w:t>Móðurfyrirtæki:</w:t>
            </w:r>
            <w:r w:rsidRPr="00447F64">
              <w:rPr>
                <w:rFonts w:ascii="Arial" w:eastAsia="Times New Roman" w:hAnsi="Arial" w:cs="Arial"/>
                <w:sz w:val="24"/>
                <w:szCs w:val="24"/>
                <w:lang w:eastAsia="is-IS"/>
              </w:rPr>
              <w:t xml:space="preserve"> Fyrirtæki skilgreint í 1. mgr. 97. gr. laga nr. 161/2002, um fjármála</w:t>
            </w:r>
            <w:r w:rsidRPr="00447F64">
              <w:rPr>
                <w:rFonts w:ascii="Arial" w:eastAsia="Times New Roman" w:hAnsi="Arial" w:cs="Arial"/>
                <w:sz w:val="24"/>
                <w:szCs w:val="24"/>
                <w:lang w:eastAsia="is-IS"/>
              </w:rPr>
              <w:softHyphen/>
              <w:t>fyrirtæki.</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i/>
                <w:iCs/>
                <w:sz w:val="24"/>
                <w:szCs w:val="24"/>
                <w:lang w:eastAsia="is-IS"/>
              </w:rPr>
              <w:t xml:space="preserve">Mótaðilaáhætta (e. </w:t>
            </w:r>
            <w:proofErr w:type="spellStart"/>
            <w:r w:rsidRPr="00447F64">
              <w:rPr>
                <w:rFonts w:ascii="Arial" w:eastAsia="Times New Roman" w:hAnsi="Arial" w:cs="Arial"/>
                <w:i/>
                <w:iCs/>
                <w:sz w:val="24"/>
                <w:szCs w:val="24"/>
                <w:lang w:eastAsia="is-IS"/>
              </w:rPr>
              <w:t>counterparty</w:t>
            </w:r>
            <w:proofErr w:type="spellEnd"/>
            <w:r w:rsidRPr="00447F64">
              <w:rPr>
                <w:rFonts w:ascii="Arial" w:eastAsia="Times New Roman" w:hAnsi="Arial" w:cs="Arial"/>
                <w:i/>
                <w:iCs/>
                <w:sz w:val="24"/>
                <w:szCs w:val="24"/>
                <w:lang w:eastAsia="is-IS"/>
              </w:rPr>
              <w:t xml:space="preserve"> risk): </w:t>
            </w:r>
            <w:r w:rsidRPr="00447F64">
              <w:rPr>
                <w:rFonts w:ascii="Arial" w:eastAsia="Times New Roman" w:hAnsi="Arial" w:cs="Arial"/>
                <w:sz w:val="24"/>
                <w:szCs w:val="24"/>
                <w:lang w:eastAsia="is-IS"/>
              </w:rPr>
              <w:t>Sú hætta sem er á því að gagnaðili fjár</w:t>
            </w:r>
            <w:r w:rsidRPr="00447F64">
              <w:rPr>
                <w:rFonts w:ascii="Arial" w:eastAsia="Times New Roman" w:hAnsi="Arial" w:cs="Arial"/>
                <w:sz w:val="24"/>
                <w:szCs w:val="24"/>
                <w:lang w:eastAsia="is-IS"/>
              </w:rPr>
              <w:softHyphen/>
              <w:t>málasamnings uppfylli ekki ákvæði hans. Ein tegund mótaðilaáhættu er afhendingar</w:t>
            </w:r>
            <w:r w:rsidRPr="00447F64">
              <w:rPr>
                <w:rFonts w:ascii="Arial" w:eastAsia="Times New Roman" w:hAnsi="Arial" w:cs="Arial"/>
                <w:sz w:val="24"/>
                <w:szCs w:val="24"/>
                <w:lang w:eastAsia="is-IS"/>
              </w:rPr>
              <w:softHyphen/>
              <w:t>áhætta en það er sú áhætta að mótaðili afhendi ekki verðbréf í samræmi við ákvæði fjármálasamnings.</w:t>
            </w:r>
            <w:r w:rsidRPr="00447F64">
              <w:rPr>
                <w:rFonts w:ascii="Arial" w:eastAsia="Times New Roman" w:hAnsi="Arial" w:cs="Arial"/>
                <w:i/>
                <w:iCs/>
                <w:sz w:val="24"/>
                <w:szCs w:val="24"/>
                <w:lang w:eastAsia="is-IS"/>
              </w:rPr>
              <w:t xml:space="preserve"> </w:t>
            </w:r>
            <w:r w:rsidRPr="00447F64">
              <w:rPr>
                <w:rFonts w:ascii="Arial" w:eastAsia="Times New Roman" w:hAnsi="Arial" w:cs="Arial"/>
                <w:sz w:val="24"/>
                <w:szCs w:val="24"/>
                <w:lang w:eastAsia="is-IS"/>
              </w:rPr>
              <w:t xml:space="preserve">Önnur tegund mótaðilaáhættu er uppgjörsáhætta en það er sú áhætta að mótaðili t.d. afleiðusamnings standi ekki við samninginn á uppgjörsdegi. Þriðja tegund mótaðilaáhættu er útlánaáhætta. Sjá einnig </w:t>
            </w:r>
            <w:r w:rsidRPr="00447F64">
              <w:rPr>
                <w:rFonts w:ascii="Arial" w:eastAsia="Times New Roman" w:hAnsi="Arial" w:cs="Arial"/>
                <w:i/>
                <w:iCs/>
                <w:sz w:val="24"/>
                <w:szCs w:val="24"/>
                <w:lang w:eastAsia="is-IS"/>
              </w:rPr>
              <w:t>útlánaígildi</w:t>
            </w:r>
            <w:r w:rsidRPr="00447F64">
              <w:rPr>
                <w:rFonts w:ascii="Arial" w:eastAsia="Times New Roman" w:hAnsi="Arial" w:cs="Arial"/>
                <w:sz w:val="24"/>
                <w:szCs w:val="24"/>
                <w:lang w:eastAsia="is-IS"/>
              </w:rPr>
              <w:t>.</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i/>
                <w:iCs/>
                <w:sz w:val="24"/>
                <w:szCs w:val="24"/>
                <w:lang w:eastAsia="is-IS"/>
              </w:rPr>
              <w:t>Mildun/lækkun útlánaáhættu (e.</w:t>
            </w:r>
            <w:r w:rsidRPr="00447F64">
              <w:rPr>
                <w:rFonts w:ascii="Arial" w:eastAsia="Times New Roman" w:hAnsi="Arial" w:cs="Arial"/>
                <w:sz w:val="24"/>
                <w:szCs w:val="24"/>
                <w:lang w:eastAsia="is-IS"/>
              </w:rPr>
              <w:t xml:space="preserve"> </w:t>
            </w:r>
            <w:proofErr w:type="spellStart"/>
            <w:r w:rsidRPr="00447F64">
              <w:rPr>
                <w:rFonts w:ascii="Arial" w:eastAsia="Times New Roman" w:hAnsi="Arial" w:cs="Arial"/>
                <w:i/>
                <w:iCs/>
                <w:sz w:val="24"/>
                <w:szCs w:val="24"/>
                <w:lang w:eastAsia="is-IS"/>
              </w:rPr>
              <w:t>credit</w:t>
            </w:r>
            <w:proofErr w:type="spellEnd"/>
            <w:r w:rsidRPr="00447F64">
              <w:rPr>
                <w:rFonts w:ascii="Arial" w:eastAsia="Times New Roman" w:hAnsi="Arial" w:cs="Arial"/>
                <w:i/>
                <w:iCs/>
                <w:sz w:val="24"/>
                <w:szCs w:val="24"/>
                <w:lang w:eastAsia="is-IS"/>
              </w:rPr>
              <w:t xml:space="preserve"> risk mitigation): </w:t>
            </w:r>
            <w:r w:rsidRPr="00447F64">
              <w:rPr>
                <w:rFonts w:ascii="Arial" w:eastAsia="Times New Roman" w:hAnsi="Arial" w:cs="Arial"/>
                <w:sz w:val="24"/>
                <w:szCs w:val="24"/>
                <w:lang w:eastAsia="is-IS"/>
              </w:rPr>
              <w:t>Aðferðir sem fjármálafyrirtæki nota til að draga úr þeim áhættum sem tengjast áhættuskuldbindingum.</w:t>
            </w:r>
          </w:p>
          <w:p w:rsidR="008317D6" w:rsidRPr="00447F64" w:rsidRDefault="00C23FF4"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iCs/>
                <w:sz w:val="24"/>
                <w:szCs w:val="24"/>
                <w:highlight w:val="lightGray"/>
                <w:lang w:eastAsia="is-IS"/>
              </w:rPr>
              <w:lastRenderedPageBreak/>
              <w:t>[</w:t>
            </w:r>
            <w:r w:rsidR="008317D6" w:rsidRPr="00447F64">
              <w:rPr>
                <w:rFonts w:ascii="Arial" w:eastAsia="Times New Roman" w:hAnsi="Arial" w:cs="Arial"/>
                <w:i/>
                <w:iCs/>
                <w:sz w:val="24"/>
                <w:szCs w:val="24"/>
                <w:highlight w:val="lightGray"/>
                <w:lang w:eastAsia="is-IS"/>
              </w:rPr>
              <w:t xml:space="preserve">Nettóstaða: </w:t>
            </w:r>
            <w:r w:rsidR="008317D6" w:rsidRPr="00447F64">
              <w:rPr>
                <w:rFonts w:ascii="Arial" w:eastAsia="Times New Roman" w:hAnsi="Arial" w:cs="Arial"/>
                <w:sz w:val="24"/>
                <w:szCs w:val="24"/>
                <w:highlight w:val="lightGray"/>
                <w:lang w:eastAsia="is-IS"/>
              </w:rPr>
              <w:t xml:space="preserve">Með nettóstöðu fjármálagerninga er átt við mismuninn milli </w:t>
            </w:r>
            <w:proofErr w:type="spellStart"/>
            <w:r w:rsidR="008317D6" w:rsidRPr="00447F64">
              <w:rPr>
                <w:rFonts w:ascii="Arial" w:eastAsia="Times New Roman" w:hAnsi="Arial" w:cs="Arial"/>
                <w:sz w:val="24"/>
                <w:szCs w:val="24"/>
                <w:highlight w:val="lightGray"/>
                <w:lang w:eastAsia="is-IS"/>
              </w:rPr>
              <w:t>gnóttstöðu</w:t>
            </w:r>
            <w:proofErr w:type="spellEnd"/>
            <w:r w:rsidR="008317D6" w:rsidRPr="00447F64">
              <w:rPr>
                <w:rFonts w:ascii="Arial" w:eastAsia="Times New Roman" w:hAnsi="Arial" w:cs="Arial"/>
                <w:sz w:val="24"/>
                <w:szCs w:val="24"/>
                <w:highlight w:val="lightGray"/>
                <w:lang w:eastAsia="is-IS"/>
              </w:rPr>
              <w:t xml:space="preserve"> (skortstöðu) og skortstöðu (</w:t>
            </w:r>
            <w:proofErr w:type="spellStart"/>
            <w:r w:rsidR="008317D6" w:rsidRPr="00447F64">
              <w:rPr>
                <w:rFonts w:ascii="Arial" w:eastAsia="Times New Roman" w:hAnsi="Arial" w:cs="Arial"/>
                <w:sz w:val="24"/>
                <w:szCs w:val="24"/>
                <w:highlight w:val="lightGray"/>
                <w:lang w:eastAsia="is-IS"/>
              </w:rPr>
              <w:t>gnóttstöðu</w:t>
            </w:r>
            <w:proofErr w:type="spellEnd"/>
            <w:r w:rsidR="008317D6" w:rsidRPr="00447F64">
              <w:rPr>
                <w:rFonts w:ascii="Arial" w:eastAsia="Times New Roman" w:hAnsi="Arial" w:cs="Arial"/>
                <w:sz w:val="24"/>
                <w:szCs w:val="24"/>
                <w:highlight w:val="lightGray"/>
                <w:lang w:eastAsia="is-IS"/>
              </w:rPr>
              <w:t>) í sömu fjármálagerningum, sjá einnig skil</w:t>
            </w:r>
            <w:r w:rsidR="008317D6" w:rsidRPr="00447F64">
              <w:rPr>
                <w:rFonts w:ascii="Arial" w:eastAsia="Times New Roman" w:hAnsi="Arial" w:cs="Arial"/>
                <w:sz w:val="24"/>
                <w:szCs w:val="24"/>
                <w:highlight w:val="lightGray"/>
                <w:lang w:eastAsia="is-IS"/>
              </w:rPr>
              <w:softHyphen/>
              <w:t>grein</w:t>
            </w:r>
            <w:r w:rsidR="008317D6" w:rsidRPr="00447F64">
              <w:rPr>
                <w:rFonts w:ascii="Arial" w:eastAsia="Times New Roman" w:hAnsi="Arial" w:cs="Arial"/>
                <w:sz w:val="24"/>
                <w:szCs w:val="24"/>
                <w:highlight w:val="lightGray"/>
                <w:lang w:eastAsia="is-IS"/>
              </w:rPr>
              <w:softHyphen/>
              <w:t xml:space="preserve">ingu á útreikningi á nettóstöðu í viðauka I, 1.-3. </w:t>
            </w:r>
            <w:proofErr w:type="spellStart"/>
            <w:r w:rsidR="008317D6" w:rsidRPr="00447F64">
              <w:rPr>
                <w:rFonts w:ascii="Arial" w:eastAsia="Times New Roman" w:hAnsi="Arial" w:cs="Arial"/>
                <w:sz w:val="24"/>
                <w:szCs w:val="24"/>
                <w:highlight w:val="lightGray"/>
                <w:lang w:eastAsia="is-IS"/>
              </w:rPr>
              <w:t>tl</w:t>
            </w:r>
            <w:proofErr w:type="spellEnd"/>
            <w:r w:rsidR="008317D6" w:rsidRPr="00447F64">
              <w:rPr>
                <w:rFonts w:ascii="Arial" w:eastAsia="Times New Roman" w:hAnsi="Arial" w:cs="Arial"/>
                <w:sz w:val="24"/>
                <w:szCs w:val="24"/>
                <w:highlight w:val="lightGray"/>
                <w:lang w:eastAsia="is-IS"/>
              </w:rPr>
              <w:t>. skv. 55. gr. B.</w:t>
            </w:r>
            <w:r w:rsidRPr="00447F64">
              <w:rPr>
                <w:rFonts w:ascii="Arial" w:eastAsia="Times New Roman" w:hAnsi="Arial" w:cs="Arial"/>
                <w:sz w:val="24"/>
                <w:szCs w:val="24"/>
                <w:highlight w:val="lightGray"/>
                <w:lang w:eastAsia="is-IS"/>
              </w:rPr>
              <w:t>]</w:t>
            </w:r>
            <w:r w:rsidRPr="00447F64">
              <w:rPr>
                <w:rStyle w:val="FootnoteReference"/>
                <w:rFonts w:ascii="Arial" w:eastAsia="Times New Roman" w:hAnsi="Arial" w:cs="Arial"/>
                <w:sz w:val="24"/>
                <w:szCs w:val="24"/>
                <w:highlight w:val="lightGray"/>
                <w:lang w:eastAsia="is-IS"/>
              </w:rPr>
              <w:footnoteReference w:id="4"/>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i/>
                <w:iCs/>
                <w:sz w:val="24"/>
                <w:szCs w:val="24"/>
                <w:lang w:eastAsia="is-IS"/>
              </w:rPr>
              <w:t xml:space="preserve">Nústaða (e. </w:t>
            </w:r>
            <w:proofErr w:type="spellStart"/>
            <w:r w:rsidRPr="00447F64">
              <w:rPr>
                <w:rFonts w:ascii="Arial" w:eastAsia="Times New Roman" w:hAnsi="Arial" w:cs="Arial"/>
                <w:i/>
                <w:iCs/>
                <w:sz w:val="24"/>
                <w:szCs w:val="24"/>
                <w:lang w:eastAsia="is-IS"/>
              </w:rPr>
              <w:t>spot</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position</w:t>
            </w:r>
            <w:proofErr w:type="spellEnd"/>
            <w:r w:rsidRPr="00447F64">
              <w:rPr>
                <w:rFonts w:ascii="Arial" w:eastAsia="Times New Roman" w:hAnsi="Arial" w:cs="Arial"/>
                <w:sz w:val="24"/>
                <w:szCs w:val="24"/>
                <w:lang w:eastAsia="is-IS"/>
              </w:rPr>
              <w:t>): Staða í fjármálaskjölum sem gerð verður upp eigi síðar en tveimur virkum dögum frá viðmiðunardegi.</w:t>
            </w:r>
          </w:p>
          <w:p w:rsidR="008317D6" w:rsidRPr="00447F64" w:rsidRDefault="008317D6" w:rsidP="00447F64">
            <w:pPr>
              <w:spacing w:before="100" w:beforeAutospacing="1" w:after="100" w:afterAutospacing="1" w:line="240" w:lineRule="auto"/>
              <w:jc w:val="both"/>
              <w:rPr>
                <w:rFonts w:ascii="Arial" w:eastAsia="Times New Roman" w:hAnsi="Arial" w:cs="Arial"/>
                <w:i/>
                <w:iCs/>
                <w:sz w:val="24"/>
                <w:szCs w:val="24"/>
                <w:lang w:eastAsia="is-IS"/>
              </w:rPr>
            </w:pPr>
            <w:r w:rsidRPr="00447F64">
              <w:rPr>
                <w:rFonts w:ascii="Arial" w:eastAsia="Times New Roman" w:hAnsi="Arial" w:cs="Arial"/>
                <w:i/>
                <w:iCs/>
                <w:sz w:val="24"/>
                <w:szCs w:val="24"/>
                <w:lang w:eastAsia="is-IS"/>
              </w:rPr>
              <w:t xml:space="preserve">Núviðskipti (e. </w:t>
            </w:r>
            <w:proofErr w:type="spellStart"/>
            <w:r w:rsidRPr="00447F64">
              <w:rPr>
                <w:rFonts w:ascii="Arial" w:eastAsia="Times New Roman" w:hAnsi="Arial" w:cs="Arial"/>
                <w:i/>
                <w:iCs/>
                <w:sz w:val="24"/>
                <w:szCs w:val="24"/>
                <w:lang w:eastAsia="is-IS"/>
              </w:rPr>
              <w:t>spot</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transaction</w:t>
            </w:r>
            <w:proofErr w:type="spellEnd"/>
            <w:r w:rsidRPr="00447F64">
              <w:rPr>
                <w:rFonts w:ascii="Arial" w:eastAsia="Times New Roman" w:hAnsi="Arial" w:cs="Arial"/>
                <w:i/>
                <w:iCs/>
                <w:sz w:val="24"/>
                <w:szCs w:val="24"/>
                <w:lang w:eastAsia="is-IS"/>
              </w:rPr>
              <w:t xml:space="preserve">): </w:t>
            </w:r>
            <w:r w:rsidRPr="00447F64">
              <w:rPr>
                <w:rFonts w:ascii="Arial" w:eastAsia="Times New Roman" w:hAnsi="Arial" w:cs="Arial"/>
                <w:sz w:val="24"/>
                <w:szCs w:val="24"/>
                <w:lang w:eastAsia="is-IS"/>
              </w:rPr>
              <w:t xml:space="preserve">Viðskipti sem gerð eru upp eigi síðar en tveimur virkum dögum eftir upphafsdag þeirra. Sjá einnig </w:t>
            </w:r>
            <w:r w:rsidRPr="00447F64">
              <w:rPr>
                <w:rFonts w:ascii="Arial" w:eastAsia="Times New Roman" w:hAnsi="Arial" w:cs="Arial"/>
                <w:i/>
                <w:iCs/>
                <w:sz w:val="24"/>
                <w:szCs w:val="24"/>
                <w:lang w:eastAsia="is-IS"/>
              </w:rPr>
              <w:t>framvirk viðskipti.</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i/>
                <w:iCs/>
                <w:sz w:val="24"/>
                <w:szCs w:val="24"/>
                <w:lang w:eastAsia="is-IS"/>
              </w:rPr>
              <w:t xml:space="preserve">Opinber aðili: </w:t>
            </w:r>
            <w:r w:rsidRPr="00447F64">
              <w:rPr>
                <w:rFonts w:ascii="Arial" w:eastAsia="Times New Roman" w:hAnsi="Arial" w:cs="Arial"/>
                <w:sz w:val="24"/>
                <w:szCs w:val="24"/>
                <w:lang w:eastAsia="is-IS"/>
              </w:rPr>
              <w:t>Ríki eða sveitarfélag á Íslandi eða samsvarandi aðili í öðrum löndum.</w:t>
            </w:r>
          </w:p>
          <w:p w:rsidR="008317D6" w:rsidRPr="00447F64" w:rsidRDefault="00C23FF4"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iCs/>
                <w:sz w:val="24"/>
                <w:szCs w:val="24"/>
                <w:lang w:eastAsia="is-IS"/>
              </w:rPr>
              <w:t>[</w:t>
            </w:r>
            <w:r w:rsidR="008317D6" w:rsidRPr="00447F64">
              <w:rPr>
                <w:rFonts w:ascii="Arial" w:eastAsia="Times New Roman" w:hAnsi="Arial" w:cs="Arial"/>
                <w:i/>
                <w:iCs/>
                <w:sz w:val="24"/>
                <w:szCs w:val="24"/>
                <w:lang w:eastAsia="is-IS"/>
              </w:rPr>
              <w:t xml:space="preserve">Opinber fyrirtæki og stofnanir: </w:t>
            </w:r>
            <w:r w:rsidR="008317D6" w:rsidRPr="00447F64">
              <w:rPr>
                <w:rFonts w:ascii="Arial" w:eastAsia="Times New Roman" w:hAnsi="Arial" w:cs="Arial"/>
                <w:sz w:val="24"/>
                <w:szCs w:val="24"/>
                <w:lang w:eastAsia="is-IS"/>
              </w:rPr>
              <w:t>Með opinberum fyrirtækjum og stofnunum í reglum þessum er átt við fyrirtæki og stofnanir sem eru að öllu leyti í eigu ríkis eða sveitarfélaga eða samsvarandi stjórnvalda í öðrum löndum eða eru undir stjórn áðurnefndra aðila og eru rekin með öðrum markmiðum en að hámarka hagnað (</w:t>
            </w:r>
            <w:r w:rsidR="008317D6" w:rsidRPr="00447F64">
              <w:rPr>
                <w:rFonts w:ascii="Arial" w:eastAsia="Times New Roman" w:hAnsi="Arial" w:cs="Arial"/>
                <w:i/>
                <w:iCs/>
                <w:sz w:val="24"/>
                <w:szCs w:val="24"/>
                <w:lang w:eastAsia="is-IS"/>
              </w:rPr>
              <w:t xml:space="preserve">e. </w:t>
            </w:r>
            <w:proofErr w:type="spellStart"/>
            <w:r w:rsidR="008317D6" w:rsidRPr="00447F64">
              <w:rPr>
                <w:rFonts w:ascii="Arial" w:eastAsia="Times New Roman" w:hAnsi="Arial" w:cs="Arial"/>
                <w:i/>
                <w:iCs/>
                <w:sz w:val="24"/>
                <w:szCs w:val="24"/>
                <w:lang w:eastAsia="is-IS"/>
              </w:rPr>
              <w:t>non</w:t>
            </w:r>
            <w:proofErr w:type="spellEnd"/>
            <w:r w:rsidR="008317D6" w:rsidRPr="00447F64">
              <w:rPr>
                <w:rFonts w:ascii="Arial" w:eastAsia="Times New Roman" w:hAnsi="Arial" w:cs="Arial"/>
                <w:i/>
                <w:iCs/>
                <w:sz w:val="24"/>
                <w:szCs w:val="24"/>
                <w:lang w:eastAsia="is-IS"/>
              </w:rPr>
              <w:t>-</w:t>
            </w:r>
            <w:proofErr w:type="spellStart"/>
            <w:r w:rsidR="008317D6" w:rsidRPr="00447F64">
              <w:rPr>
                <w:rFonts w:ascii="Arial" w:eastAsia="Times New Roman" w:hAnsi="Arial" w:cs="Arial"/>
                <w:i/>
                <w:iCs/>
                <w:sz w:val="24"/>
                <w:szCs w:val="24"/>
                <w:lang w:eastAsia="is-IS"/>
              </w:rPr>
              <w:t>commercial</w:t>
            </w:r>
            <w:proofErr w:type="spellEnd"/>
            <w:r w:rsidR="008317D6" w:rsidRPr="00447F64">
              <w:rPr>
                <w:rFonts w:ascii="Arial" w:eastAsia="Times New Roman" w:hAnsi="Arial" w:cs="Arial"/>
                <w:sz w:val="24"/>
                <w:szCs w:val="24"/>
                <w:lang w:eastAsia="is-IS"/>
              </w:rPr>
              <w:t>).</w:t>
            </w:r>
            <w:r w:rsidRPr="00447F64">
              <w:rPr>
                <w:rFonts w:ascii="Arial" w:eastAsia="Times New Roman" w:hAnsi="Arial" w:cs="Arial"/>
                <w:sz w:val="24"/>
                <w:szCs w:val="24"/>
                <w:lang w:eastAsia="is-IS"/>
              </w:rPr>
              <w:t>]</w:t>
            </w:r>
            <w:r w:rsidRPr="00447F64">
              <w:rPr>
                <w:rStyle w:val="FootnoteReference"/>
                <w:rFonts w:ascii="Arial" w:eastAsia="Times New Roman" w:hAnsi="Arial" w:cs="Arial"/>
                <w:sz w:val="24"/>
                <w:szCs w:val="24"/>
                <w:lang w:eastAsia="is-IS"/>
              </w:rPr>
              <w:footnoteReference w:id="5"/>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i/>
                <w:iCs/>
                <w:sz w:val="24"/>
                <w:szCs w:val="24"/>
                <w:lang w:eastAsia="is-IS"/>
              </w:rPr>
              <w:t xml:space="preserve">Opinbert viðmiðunargengi: </w:t>
            </w:r>
            <w:r w:rsidRPr="00447F64">
              <w:rPr>
                <w:rFonts w:ascii="Arial" w:eastAsia="Times New Roman" w:hAnsi="Arial" w:cs="Arial"/>
                <w:sz w:val="24"/>
                <w:szCs w:val="24"/>
                <w:lang w:eastAsia="is-IS"/>
              </w:rPr>
              <w:t>Opinbert viðmiðunargengi Seðlabanka Íslands eins og það er skráð á uppgjörsdegi.</w:t>
            </w:r>
          </w:p>
          <w:p w:rsidR="008317D6" w:rsidRPr="00447F64" w:rsidRDefault="008317D6" w:rsidP="00447F64">
            <w:pPr>
              <w:spacing w:before="100" w:beforeAutospacing="1" w:after="100" w:afterAutospacing="1" w:line="240" w:lineRule="auto"/>
              <w:jc w:val="both"/>
              <w:rPr>
                <w:rFonts w:ascii="Arial" w:eastAsia="Times New Roman" w:hAnsi="Arial" w:cs="Arial"/>
                <w:i/>
                <w:iCs/>
                <w:sz w:val="24"/>
                <w:szCs w:val="24"/>
                <w:lang w:eastAsia="is-IS"/>
              </w:rPr>
            </w:pPr>
            <w:r w:rsidRPr="00447F64">
              <w:rPr>
                <w:rFonts w:ascii="Arial" w:eastAsia="Times New Roman" w:hAnsi="Arial" w:cs="Arial"/>
                <w:i/>
                <w:iCs/>
                <w:sz w:val="24"/>
                <w:szCs w:val="24"/>
                <w:lang w:eastAsia="is-IS"/>
              </w:rPr>
              <w:t xml:space="preserve">Opin gjaldeyrisstaða í gjaldmiðli (e. net </w:t>
            </w:r>
            <w:proofErr w:type="spellStart"/>
            <w:r w:rsidRPr="00447F64">
              <w:rPr>
                <w:rFonts w:ascii="Arial" w:eastAsia="Times New Roman" w:hAnsi="Arial" w:cs="Arial"/>
                <w:i/>
                <w:iCs/>
                <w:sz w:val="24"/>
                <w:szCs w:val="24"/>
                <w:lang w:eastAsia="is-IS"/>
              </w:rPr>
              <w:t>open</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position</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in</w:t>
            </w:r>
            <w:proofErr w:type="spellEnd"/>
            <w:r w:rsidRPr="00447F64">
              <w:rPr>
                <w:rFonts w:ascii="Arial" w:eastAsia="Times New Roman" w:hAnsi="Arial" w:cs="Arial"/>
                <w:i/>
                <w:iCs/>
                <w:sz w:val="24"/>
                <w:szCs w:val="24"/>
                <w:lang w:eastAsia="is-IS"/>
              </w:rPr>
              <w:t xml:space="preserve"> a </w:t>
            </w:r>
            <w:proofErr w:type="spellStart"/>
            <w:r w:rsidRPr="00447F64">
              <w:rPr>
                <w:rFonts w:ascii="Arial" w:eastAsia="Times New Roman" w:hAnsi="Arial" w:cs="Arial"/>
                <w:i/>
                <w:iCs/>
                <w:sz w:val="24"/>
                <w:szCs w:val="24"/>
                <w:lang w:eastAsia="is-IS"/>
              </w:rPr>
              <w:t>currency</w:t>
            </w:r>
            <w:proofErr w:type="spellEnd"/>
            <w:r w:rsidRPr="00447F64">
              <w:rPr>
                <w:rFonts w:ascii="Arial" w:eastAsia="Times New Roman" w:hAnsi="Arial" w:cs="Arial"/>
                <w:i/>
                <w:iCs/>
                <w:sz w:val="24"/>
                <w:szCs w:val="24"/>
                <w:lang w:eastAsia="is-IS"/>
              </w:rPr>
              <w:t>):</w:t>
            </w:r>
            <w:r w:rsidRPr="00447F64">
              <w:rPr>
                <w:rFonts w:ascii="Arial" w:eastAsia="Times New Roman" w:hAnsi="Arial" w:cs="Arial"/>
                <w:sz w:val="24"/>
                <w:szCs w:val="24"/>
                <w:lang w:eastAsia="is-IS"/>
              </w:rPr>
              <w:t xml:space="preserve"> Mismunur </w:t>
            </w:r>
            <w:proofErr w:type="spellStart"/>
            <w:r w:rsidRPr="00447F64">
              <w:rPr>
                <w:rFonts w:ascii="Arial" w:eastAsia="Times New Roman" w:hAnsi="Arial" w:cs="Arial"/>
                <w:i/>
                <w:iCs/>
                <w:sz w:val="24"/>
                <w:szCs w:val="24"/>
                <w:lang w:eastAsia="is-IS"/>
              </w:rPr>
              <w:t>gnótt</w:t>
            </w:r>
            <w:r w:rsidRPr="00447F64">
              <w:rPr>
                <w:rFonts w:ascii="Arial" w:eastAsia="Times New Roman" w:hAnsi="Arial" w:cs="Arial"/>
                <w:i/>
                <w:iCs/>
                <w:sz w:val="24"/>
                <w:szCs w:val="24"/>
                <w:lang w:eastAsia="is-IS"/>
              </w:rPr>
              <w:softHyphen/>
              <w:t>stöðu</w:t>
            </w:r>
            <w:proofErr w:type="spellEnd"/>
            <w:r w:rsidRPr="00447F64">
              <w:rPr>
                <w:rFonts w:ascii="Arial" w:eastAsia="Times New Roman" w:hAnsi="Arial" w:cs="Arial"/>
                <w:i/>
                <w:iCs/>
                <w:sz w:val="24"/>
                <w:szCs w:val="24"/>
                <w:lang w:eastAsia="is-IS"/>
              </w:rPr>
              <w:t xml:space="preserve"> </w:t>
            </w:r>
            <w:r w:rsidRPr="00447F64">
              <w:rPr>
                <w:rFonts w:ascii="Arial" w:eastAsia="Times New Roman" w:hAnsi="Arial" w:cs="Arial"/>
                <w:sz w:val="24"/>
                <w:szCs w:val="24"/>
                <w:lang w:eastAsia="is-IS"/>
              </w:rPr>
              <w:t xml:space="preserve">og </w:t>
            </w:r>
            <w:r w:rsidRPr="00447F64">
              <w:rPr>
                <w:rFonts w:ascii="Arial" w:eastAsia="Times New Roman" w:hAnsi="Arial" w:cs="Arial"/>
                <w:i/>
                <w:iCs/>
                <w:sz w:val="24"/>
                <w:szCs w:val="24"/>
                <w:lang w:eastAsia="is-IS"/>
              </w:rPr>
              <w:t xml:space="preserve">skortstöðu </w:t>
            </w:r>
            <w:r w:rsidRPr="00447F64">
              <w:rPr>
                <w:rFonts w:ascii="Arial" w:eastAsia="Times New Roman" w:hAnsi="Arial" w:cs="Arial"/>
                <w:sz w:val="24"/>
                <w:szCs w:val="24"/>
                <w:lang w:eastAsia="is-IS"/>
              </w:rPr>
              <w:t xml:space="preserve">í viðkomandi gjaldmiðli. Sjá einnig </w:t>
            </w:r>
            <w:r w:rsidRPr="00447F64">
              <w:rPr>
                <w:rFonts w:ascii="Arial" w:eastAsia="Times New Roman" w:hAnsi="Arial" w:cs="Arial"/>
                <w:i/>
                <w:iCs/>
                <w:sz w:val="24"/>
                <w:szCs w:val="24"/>
                <w:lang w:eastAsia="is-IS"/>
              </w:rPr>
              <w:t>hrein gjaldeyrisstaða.</w:t>
            </w:r>
          </w:p>
          <w:p w:rsidR="008317D6" w:rsidRPr="00447F64" w:rsidRDefault="008317D6" w:rsidP="00447F64">
            <w:pPr>
              <w:spacing w:before="100" w:beforeAutospacing="1" w:after="100" w:afterAutospacing="1" w:line="240" w:lineRule="auto"/>
              <w:jc w:val="both"/>
              <w:rPr>
                <w:rFonts w:ascii="Arial" w:eastAsia="Times New Roman" w:hAnsi="Arial" w:cs="Arial"/>
                <w:i/>
                <w:iCs/>
                <w:sz w:val="24"/>
                <w:szCs w:val="24"/>
                <w:lang w:eastAsia="is-IS"/>
              </w:rPr>
            </w:pPr>
            <w:r w:rsidRPr="00447F64">
              <w:rPr>
                <w:rFonts w:ascii="Arial" w:eastAsia="Times New Roman" w:hAnsi="Arial" w:cs="Arial"/>
                <w:i/>
                <w:iCs/>
                <w:sz w:val="24"/>
                <w:szCs w:val="24"/>
                <w:lang w:eastAsia="is-IS"/>
              </w:rPr>
              <w:t xml:space="preserve">Ófjármögnuð útlánavörn (e. </w:t>
            </w:r>
            <w:proofErr w:type="spellStart"/>
            <w:r w:rsidRPr="00447F64">
              <w:rPr>
                <w:rFonts w:ascii="Arial" w:eastAsia="Times New Roman" w:hAnsi="Arial" w:cs="Arial"/>
                <w:i/>
                <w:iCs/>
                <w:sz w:val="24"/>
                <w:szCs w:val="24"/>
                <w:lang w:eastAsia="is-IS"/>
              </w:rPr>
              <w:t>unfunded</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credit</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protection</w:t>
            </w:r>
            <w:proofErr w:type="spellEnd"/>
            <w:r w:rsidRPr="00447F64">
              <w:rPr>
                <w:rFonts w:ascii="Arial" w:eastAsia="Times New Roman" w:hAnsi="Arial" w:cs="Arial"/>
                <w:i/>
                <w:iCs/>
                <w:sz w:val="24"/>
                <w:szCs w:val="24"/>
                <w:lang w:eastAsia="is-IS"/>
              </w:rPr>
              <w:t xml:space="preserve">): </w:t>
            </w:r>
            <w:r w:rsidRPr="00447F64">
              <w:rPr>
                <w:rFonts w:ascii="Arial" w:eastAsia="Times New Roman" w:hAnsi="Arial" w:cs="Arial"/>
                <w:sz w:val="24"/>
                <w:szCs w:val="24"/>
                <w:lang w:eastAsia="is-IS"/>
              </w:rPr>
              <w:t xml:space="preserve">Aðferð til mildunar útlánaáhættu þar sem þriðji aðili veitir ábyrgð ef til vanefnda lántakanda kemur, t.d. ábyrgðarmaður láns eða CDS. Sjá einnig </w:t>
            </w:r>
            <w:r w:rsidRPr="00447F64">
              <w:rPr>
                <w:rFonts w:ascii="Arial" w:eastAsia="Times New Roman" w:hAnsi="Arial" w:cs="Arial"/>
                <w:i/>
                <w:iCs/>
                <w:sz w:val="24"/>
                <w:szCs w:val="24"/>
                <w:lang w:eastAsia="is-IS"/>
              </w:rPr>
              <w:t>fjármögnuð útlánavörn.</w:t>
            </w:r>
          </w:p>
          <w:p w:rsidR="008317D6" w:rsidRPr="00447F64" w:rsidRDefault="008317D6" w:rsidP="00447F64">
            <w:pPr>
              <w:spacing w:before="100" w:beforeAutospacing="1" w:after="100" w:afterAutospacing="1" w:line="240" w:lineRule="auto"/>
              <w:jc w:val="both"/>
              <w:rPr>
                <w:rFonts w:ascii="Arial" w:eastAsia="Times New Roman" w:hAnsi="Arial" w:cs="Arial"/>
                <w:i/>
                <w:iCs/>
                <w:sz w:val="24"/>
                <w:szCs w:val="24"/>
                <w:lang w:eastAsia="is-IS"/>
              </w:rPr>
            </w:pPr>
            <w:r w:rsidRPr="00447F64">
              <w:rPr>
                <w:rFonts w:ascii="Arial" w:eastAsia="Times New Roman" w:hAnsi="Arial" w:cs="Arial"/>
                <w:i/>
                <w:iCs/>
                <w:sz w:val="24"/>
                <w:szCs w:val="24"/>
                <w:lang w:eastAsia="is-IS"/>
              </w:rPr>
              <w:t xml:space="preserve">Rauntímaaðferð (e. </w:t>
            </w:r>
            <w:proofErr w:type="spellStart"/>
            <w:r w:rsidRPr="00447F64">
              <w:rPr>
                <w:rFonts w:ascii="Arial" w:eastAsia="Times New Roman" w:hAnsi="Arial" w:cs="Arial"/>
                <w:i/>
                <w:iCs/>
                <w:sz w:val="24"/>
                <w:szCs w:val="24"/>
                <w:lang w:eastAsia="is-IS"/>
              </w:rPr>
              <w:t>duration</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based</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method</w:t>
            </w:r>
            <w:proofErr w:type="spellEnd"/>
            <w:r w:rsidRPr="00447F64">
              <w:rPr>
                <w:rFonts w:ascii="Arial" w:eastAsia="Times New Roman" w:hAnsi="Arial" w:cs="Arial"/>
                <w:i/>
                <w:iCs/>
                <w:sz w:val="24"/>
                <w:szCs w:val="24"/>
                <w:lang w:eastAsia="is-IS"/>
              </w:rPr>
              <w:t xml:space="preserve">): </w:t>
            </w:r>
            <w:r w:rsidRPr="00447F64">
              <w:rPr>
                <w:rFonts w:ascii="Arial" w:eastAsia="Times New Roman" w:hAnsi="Arial" w:cs="Arial"/>
                <w:sz w:val="24"/>
                <w:szCs w:val="24"/>
                <w:lang w:eastAsia="is-IS"/>
              </w:rPr>
              <w:t>Aðferð til að reikna út vaxtaáhættu fjármálafyrirtækis. Aðferðin tekur mið af reiknuðum rauntíma skulda</w:t>
            </w:r>
            <w:r w:rsidRPr="00447F64">
              <w:rPr>
                <w:rFonts w:ascii="Arial" w:eastAsia="Times New Roman" w:hAnsi="Arial" w:cs="Arial"/>
                <w:sz w:val="24"/>
                <w:szCs w:val="24"/>
                <w:lang w:eastAsia="is-IS"/>
              </w:rPr>
              <w:softHyphen/>
              <w:t>bréfs/</w:t>
            </w:r>
            <w:r w:rsidRPr="00447F64">
              <w:rPr>
                <w:rFonts w:ascii="Arial" w:eastAsia="Times New Roman" w:hAnsi="Arial" w:cs="Arial"/>
                <w:sz w:val="24"/>
                <w:szCs w:val="24"/>
                <w:lang w:eastAsia="is-IS"/>
              </w:rPr>
              <w:softHyphen/>
              <w:t>fjármálasamnings, í stað afborgunartíma. Rauntími skuldabréfs er veginn meðal afborgunartími þess og er þá tekið tillit til allra greiðslna af skuldabréfinu, bæði vaxta og afborgana, eftir að þær hafa verið núvirtar með reiknaðri ávöxtun skulda</w:t>
            </w:r>
            <w:r w:rsidRPr="00447F64">
              <w:rPr>
                <w:rFonts w:ascii="Arial" w:eastAsia="Times New Roman" w:hAnsi="Arial" w:cs="Arial"/>
                <w:sz w:val="24"/>
                <w:szCs w:val="24"/>
                <w:lang w:eastAsia="is-IS"/>
              </w:rPr>
              <w:softHyphen/>
              <w:t xml:space="preserve">bréfsins. Hin reiknaða ávöxtun skuldabréfsins skal taka mið af markaðsvirði bréfsins á uppgjörsdegi. Leiðréttur rauntími </w:t>
            </w:r>
            <w:r w:rsidRPr="00447F64">
              <w:rPr>
                <w:rFonts w:ascii="Arial" w:eastAsia="Times New Roman" w:hAnsi="Arial" w:cs="Arial"/>
                <w:i/>
                <w:iCs/>
                <w:sz w:val="24"/>
                <w:szCs w:val="24"/>
                <w:lang w:eastAsia="is-IS"/>
              </w:rPr>
              <w:t xml:space="preserve">skuldabréfs (e. </w:t>
            </w:r>
            <w:proofErr w:type="spellStart"/>
            <w:r w:rsidRPr="00447F64">
              <w:rPr>
                <w:rFonts w:ascii="Arial" w:eastAsia="Times New Roman" w:hAnsi="Arial" w:cs="Arial"/>
                <w:i/>
                <w:iCs/>
                <w:sz w:val="24"/>
                <w:szCs w:val="24"/>
                <w:lang w:eastAsia="is-IS"/>
              </w:rPr>
              <w:t>modified</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duration</w:t>
            </w:r>
            <w:proofErr w:type="spellEnd"/>
            <w:r w:rsidRPr="00447F64">
              <w:rPr>
                <w:rFonts w:ascii="Arial" w:eastAsia="Times New Roman" w:hAnsi="Arial" w:cs="Arial"/>
                <w:i/>
                <w:iCs/>
                <w:sz w:val="24"/>
                <w:szCs w:val="24"/>
                <w:lang w:eastAsia="is-IS"/>
              </w:rPr>
              <w:t>)</w:t>
            </w:r>
            <w:r w:rsidRPr="00447F64">
              <w:rPr>
                <w:rFonts w:ascii="Arial" w:eastAsia="Times New Roman" w:hAnsi="Arial" w:cs="Arial"/>
                <w:sz w:val="24"/>
                <w:szCs w:val="24"/>
                <w:lang w:eastAsia="is-IS"/>
              </w:rPr>
              <w:t xml:space="preserve"> er reiknaður rauntími skuldabréfsins deilt með einum plús hin reiknaða ávöxtunarkrafa. Sjá einnig </w:t>
            </w:r>
            <w:r w:rsidRPr="00447F64">
              <w:rPr>
                <w:rFonts w:ascii="Arial" w:eastAsia="Times New Roman" w:hAnsi="Arial" w:cs="Arial"/>
                <w:i/>
                <w:iCs/>
                <w:sz w:val="24"/>
                <w:szCs w:val="24"/>
                <w:lang w:eastAsia="is-IS"/>
              </w:rPr>
              <w:t>binditímaaðferð.</w:t>
            </w:r>
          </w:p>
          <w:p w:rsidR="008317D6" w:rsidRPr="00447F64" w:rsidRDefault="008317D6" w:rsidP="00447F64">
            <w:pPr>
              <w:spacing w:before="100" w:beforeAutospacing="1" w:after="100" w:afterAutospacing="1" w:line="240" w:lineRule="auto"/>
              <w:jc w:val="both"/>
              <w:rPr>
                <w:rFonts w:ascii="Arial" w:eastAsia="Times New Roman" w:hAnsi="Arial" w:cs="Arial"/>
                <w:i/>
                <w:iCs/>
                <w:sz w:val="24"/>
                <w:szCs w:val="24"/>
                <w:lang w:eastAsia="is-IS"/>
              </w:rPr>
            </w:pPr>
            <w:r w:rsidRPr="00447F64">
              <w:rPr>
                <w:rFonts w:ascii="Arial" w:eastAsia="Times New Roman" w:hAnsi="Arial" w:cs="Arial"/>
                <w:i/>
                <w:iCs/>
                <w:sz w:val="24"/>
                <w:szCs w:val="24"/>
                <w:lang w:eastAsia="is-IS"/>
              </w:rPr>
              <w:t>Raunveruleg sölu- og endurkaupaviðskipti: Sölu- og endurkaupaviðskipti</w:t>
            </w:r>
            <w:r w:rsidRPr="00447F64">
              <w:rPr>
                <w:rFonts w:ascii="Arial" w:eastAsia="Times New Roman" w:hAnsi="Arial" w:cs="Arial"/>
                <w:sz w:val="24"/>
                <w:szCs w:val="24"/>
                <w:lang w:eastAsia="is-IS"/>
              </w:rPr>
              <w:t xml:space="preserve"> þar sem afsalshafi hefur skuldbundið sig til að skila eignunum aftur. Sjá einnig </w:t>
            </w:r>
            <w:r w:rsidRPr="00447F64">
              <w:rPr>
                <w:rFonts w:ascii="Arial" w:eastAsia="Times New Roman" w:hAnsi="Arial" w:cs="Arial"/>
                <w:i/>
                <w:iCs/>
                <w:sz w:val="24"/>
                <w:szCs w:val="24"/>
                <w:lang w:eastAsia="is-IS"/>
              </w:rPr>
              <w:t>sala með endurkauparétti.</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i/>
                <w:iCs/>
                <w:sz w:val="24"/>
                <w:szCs w:val="24"/>
                <w:lang w:eastAsia="is-IS"/>
              </w:rPr>
              <w:t xml:space="preserve">Rekstraráhætta (e. </w:t>
            </w:r>
            <w:proofErr w:type="spellStart"/>
            <w:r w:rsidRPr="00447F64">
              <w:rPr>
                <w:rFonts w:ascii="Arial" w:eastAsia="Times New Roman" w:hAnsi="Arial" w:cs="Arial"/>
                <w:i/>
                <w:iCs/>
                <w:sz w:val="24"/>
                <w:szCs w:val="24"/>
                <w:lang w:eastAsia="is-IS"/>
              </w:rPr>
              <w:t>operational</w:t>
            </w:r>
            <w:proofErr w:type="spellEnd"/>
            <w:r w:rsidRPr="00447F64">
              <w:rPr>
                <w:rFonts w:ascii="Arial" w:eastAsia="Times New Roman" w:hAnsi="Arial" w:cs="Arial"/>
                <w:i/>
                <w:iCs/>
                <w:sz w:val="24"/>
                <w:szCs w:val="24"/>
                <w:lang w:eastAsia="is-IS"/>
              </w:rPr>
              <w:t xml:space="preserve"> risk): </w:t>
            </w:r>
            <w:r w:rsidRPr="00447F64">
              <w:rPr>
                <w:rFonts w:ascii="Arial" w:eastAsia="Times New Roman" w:hAnsi="Arial" w:cs="Arial"/>
                <w:sz w:val="24"/>
                <w:szCs w:val="24"/>
                <w:lang w:eastAsia="is-IS"/>
              </w:rPr>
              <w:t xml:space="preserve">Hætta á tapi sem stafar af ófullnægjandi innri ferlum, fólki og kerfum, eða af ytri atburðum þ.m.t. lögfræðileg áhætta </w:t>
            </w:r>
            <w:r w:rsidRPr="00447F64">
              <w:rPr>
                <w:rFonts w:ascii="Arial" w:eastAsia="Times New Roman" w:hAnsi="Arial" w:cs="Arial"/>
                <w:i/>
                <w:iCs/>
                <w:sz w:val="24"/>
                <w:szCs w:val="24"/>
                <w:lang w:eastAsia="is-IS"/>
              </w:rPr>
              <w:t xml:space="preserve">(e. </w:t>
            </w:r>
            <w:proofErr w:type="spellStart"/>
            <w:r w:rsidRPr="00447F64">
              <w:rPr>
                <w:rFonts w:ascii="Arial" w:eastAsia="Times New Roman" w:hAnsi="Arial" w:cs="Arial"/>
                <w:i/>
                <w:iCs/>
                <w:sz w:val="24"/>
                <w:szCs w:val="24"/>
                <w:lang w:eastAsia="is-IS"/>
              </w:rPr>
              <w:t>legal</w:t>
            </w:r>
            <w:proofErr w:type="spellEnd"/>
            <w:r w:rsidRPr="00447F64">
              <w:rPr>
                <w:rFonts w:ascii="Arial" w:eastAsia="Times New Roman" w:hAnsi="Arial" w:cs="Arial"/>
                <w:i/>
                <w:iCs/>
                <w:sz w:val="24"/>
                <w:szCs w:val="24"/>
                <w:lang w:eastAsia="is-IS"/>
              </w:rPr>
              <w:t xml:space="preserve"> risk)</w:t>
            </w:r>
            <w:r w:rsidRPr="00447F64">
              <w:rPr>
                <w:rFonts w:ascii="Arial" w:eastAsia="Times New Roman" w:hAnsi="Arial" w:cs="Arial"/>
                <w:sz w:val="24"/>
                <w:szCs w:val="24"/>
                <w:lang w:eastAsia="is-IS"/>
              </w:rPr>
              <w:t>.</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i/>
                <w:iCs/>
                <w:sz w:val="24"/>
                <w:szCs w:val="24"/>
                <w:lang w:eastAsia="is-IS"/>
              </w:rPr>
              <w:lastRenderedPageBreak/>
              <w:t>Sala með endurkauparétti: Sölu- og endurkaupaviðskipti</w:t>
            </w:r>
            <w:r w:rsidRPr="00447F64">
              <w:rPr>
                <w:rFonts w:ascii="Arial" w:eastAsia="Times New Roman" w:hAnsi="Arial" w:cs="Arial"/>
                <w:sz w:val="24"/>
                <w:szCs w:val="24"/>
                <w:lang w:eastAsia="is-IS"/>
              </w:rPr>
              <w:t xml:space="preserve"> þar sem afsalshafi á rétt á en hefur ekki skuldbundið sig til að skila eignunum aftur. Sjá einnig </w:t>
            </w:r>
            <w:r w:rsidRPr="00447F64">
              <w:rPr>
                <w:rFonts w:ascii="Arial" w:eastAsia="Times New Roman" w:hAnsi="Arial" w:cs="Arial"/>
                <w:i/>
                <w:iCs/>
                <w:sz w:val="24"/>
                <w:szCs w:val="24"/>
                <w:lang w:eastAsia="is-IS"/>
              </w:rPr>
              <w:t>raunveruleg sölu- og endurkaupaviðskipti</w:t>
            </w:r>
            <w:r w:rsidRPr="00447F64">
              <w:rPr>
                <w:rFonts w:ascii="Arial" w:eastAsia="Times New Roman" w:hAnsi="Arial" w:cs="Arial"/>
                <w:sz w:val="24"/>
                <w:szCs w:val="24"/>
                <w:lang w:eastAsia="is-IS"/>
              </w:rPr>
              <w:t>.</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i/>
                <w:iCs/>
                <w:sz w:val="24"/>
                <w:szCs w:val="24"/>
                <w:lang w:eastAsia="is-IS"/>
              </w:rPr>
              <w:t xml:space="preserve">Samningsbundin skuldajöfnun (e. </w:t>
            </w:r>
            <w:proofErr w:type="spellStart"/>
            <w:r w:rsidRPr="00447F64">
              <w:rPr>
                <w:rFonts w:ascii="Arial" w:eastAsia="Times New Roman" w:hAnsi="Arial" w:cs="Arial"/>
                <w:i/>
                <w:iCs/>
                <w:sz w:val="24"/>
                <w:szCs w:val="24"/>
                <w:lang w:eastAsia="is-IS"/>
              </w:rPr>
              <w:t>contractual</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netting</w:t>
            </w:r>
            <w:proofErr w:type="spellEnd"/>
            <w:r w:rsidRPr="00447F64">
              <w:rPr>
                <w:rFonts w:ascii="Arial" w:eastAsia="Times New Roman" w:hAnsi="Arial" w:cs="Arial"/>
                <w:i/>
                <w:iCs/>
                <w:sz w:val="24"/>
                <w:szCs w:val="24"/>
                <w:lang w:eastAsia="is-IS"/>
              </w:rPr>
              <w:t>):</w:t>
            </w:r>
            <w:r w:rsidRPr="00447F64">
              <w:rPr>
                <w:rFonts w:ascii="Arial" w:eastAsia="Times New Roman" w:hAnsi="Arial" w:cs="Arial"/>
                <w:sz w:val="24"/>
                <w:szCs w:val="24"/>
                <w:lang w:eastAsia="is-IS"/>
              </w:rPr>
              <w:t xml:space="preserve"> Samningur milli tveggja eða fleiri aðila sem eiga eina eða fleiri kröfur hver á annan um að í stað þess að gera upp hverja kröfu sérstaklega, skuli láta kröfurnar jafnast hverja á móti annarri og aðeins nettó</w:t>
            </w:r>
            <w:r w:rsidRPr="00447F64">
              <w:rPr>
                <w:rFonts w:ascii="Arial" w:eastAsia="Times New Roman" w:hAnsi="Arial" w:cs="Arial"/>
                <w:sz w:val="24"/>
                <w:szCs w:val="24"/>
                <w:lang w:eastAsia="is-IS"/>
              </w:rPr>
              <w:softHyphen/>
              <w:t xml:space="preserve">mismunur </w:t>
            </w:r>
            <w:r w:rsidRPr="00447F64">
              <w:rPr>
                <w:rFonts w:ascii="Arial" w:eastAsia="Times New Roman" w:hAnsi="Arial" w:cs="Arial"/>
                <w:i/>
                <w:iCs/>
                <w:sz w:val="24"/>
                <w:szCs w:val="24"/>
                <w:lang w:eastAsia="is-IS"/>
              </w:rPr>
              <w:t>(jaðargreiðsla)</w:t>
            </w:r>
            <w:r w:rsidRPr="00447F64">
              <w:rPr>
                <w:rFonts w:ascii="Arial" w:eastAsia="Times New Roman" w:hAnsi="Arial" w:cs="Arial"/>
                <w:sz w:val="24"/>
                <w:szCs w:val="24"/>
                <w:lang w:eastAsia="is-IS"/>
              </w:rPr>
              <w:t xml:space="preserve"> komi til uppgjörs og greiðslu.</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i/>
                <w:iCs/>
                <w:sz w:val="24"/>
                <w:szCs w:val="24"/>
                <w:lang w:eastAsia="is-IS"/>
              </w:rPr>
              <w:t>Samstæða, samstæðufyrirtæki: Móðurfyrirtæki</w:t>
            </w:r>
            <w:r w:rsidRPr="00447F64">
              <w:rPr>
                <w:rFonts w:ascii="Arial" w:eastAsia="Times New Roman" w:hAnsi="Arial" w:cs="Arial"/>
                <w:sz w:val="24"/>
                <w:szCs w:val="24"/>
                <w:lang w:eastAsia="is-IS"/>
              </w:rPr>
              <w:t xml:space="preserve"> og </w:t>
            </w:r>
            <w:r w:rsidRPr="00447F64">
              <w:rPr>
                <w:rFonts w:ascii="Arial" w:eastAsia="Times New Roman" w:hAnsi="Arial" w:cs="Arial"/>
                <w:i/>
                <w:iCs/>
                <w:sz w:val="24"/>
                <w:szCs w:val="24"/>
                <w:lang w:eastAsia="is-IS"/>
              </w:rPr>
              <w:t>dótturfyrirtæki</w:t>
            </w:r>
            <w:r w:rsidRPr="00447F64">
              <w:rPr>
                <w:rFonts w:ascii="Arial" w:eastAsia="Times New Roman" w:hAnsi="Arial" w:cs="Arial"/>
                <w:sz w:val="24"/>
                <w:szCs w:val="24"/>
                <w:lang w:eastAsia="is-IS"/>
              </w:rPr>
              <w:t xml:space="preserve"> þess.</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i/>
                <w:iCs/>
                <w:sz w:val="24"/>
                <w:szCs w:val="24"/>
                <w:lang w:eastAsia="is-IS"/>
              </w:rPr>
              <w:t>Skipulegur verðbréfamarkaður:</w:t>
            </w:r>
            <w:r w:rsidRPr="00447F64">
              <w:rPr>
                <w:rFonts w:ascii="Arial" w:eastAsia="Times New Roman" w:hAnsi="Arial" w:cs="Arial"/>
                <w:sz w:val="24"/>
                <w:szCs w:val="24"/>
                <w:lang w:eastAsia="is-IS"/>
              </w:rPr>
              <w:t xml:space="preserve"> Markaður með verðbréf samkvæmt skilgreiningu laga um starfsemi kauphalla og skipulegra tilboðsmarkaða.</w:t>
            </w:r>
          </w:p>
          <w:p w:rsidR="008317D6" w:rsidRPr="00447F64" w:rsidRDefault="008317D6" w:rsidP="00447F64">
            <w:pPr>
              <w:spacing w:before="100" w:beforeAutospacing="1" w:after="100" w:afterAutospacing="1" w:line="240" w:lineRule="auto"/>
              <w:jc w:val="both"/>
              <w:rPr>
                <w:rFonts w:ascii="Arial" w:eastAsia="Times New Roman" w:hAnsi="Arial" w:cs="Arial"/>
                <w:i/>
                <w:iCs/>
                <w:sz w:val="24"/>
                <w:szCs w:val="24"/>
                <w:lang w:eastAsia="is-IS"/>
              </w:rPr>
            </w:pPr>
            <w:r w:rsidRPr="00447F64">
              <w:rPr>
                <w:rFonts w:ascii="Arial" w:eastAsia="Times New Roman" w:hAnsi="Arial" w:cs="Arial"/>
                <w:i/>
                <w:iCs/>
                <w:sz w:val="24"/>
                <w:szCs w:val="24"/>
                <w:lang w:eastAsia="is-IS"/>
              </w:rPr>
              <w:t xml:space="preserve">Skortstaða (e. </w:t>
            </w:r>
            <w:proofErr w:type="spellStart"/>
            <w:r w:rsidRPr="00447F64">
              <w:rPr>
                <w:rFonts w:ascii="Arial" w:eastAsia="Times New Roman" w:hAnsi="Arial" w:cs="Arial"/>
                <w:i/>
                <w:iCs/>
                <w:sz w:val="24"/>
                <w:szCs w:val="24"/>
                <w:lang w:eastAsia="is-IS"/>
              </w:rPr>
              <w:t>short</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position</w:t>
            </w:r>
            <w:proofErr w:type="spellEnd"/>
            <w:r w:rsidRPr="00447F64">
              <w:rPr>
                <w:rFonts w:ascii="Arial" w:eastAsia="Times New Roman" w:hAnsi="Arial" w:cs="Arial"/>
                <w:i/>
                <w:iCs/>
                <w:sz w:val="24"/>
                <w:szCs w:val="24"/>
                <w:lang w:eastAsia="is-IS"/>
              </w:rPr>
              <w:t xml:space="preserve">): </w:t>
            </w:r>
            <w:r w:rsidRPr="00447F64">
              <w:rPr>
                <w:rFonts w:ascii="Arial" w:eastAsia="Times New Roman" w:hAnsi="Arial" w:cs="Arial"/>
                <w:sz w:val="24"/>
                <w:szCs w:val="24"/>
                <w:lang w:eastAsia="is-IS"/>
              </w:rPr>
              <w:t xml:space="preserve">Staða í fjármálaskjölum sem skyldar eða getur í framtíðinni skyldað fjármálafyrirtækið, eða gefið því rétt, til að láta af hendi greiðslu í peningum, verðbréfum eða öðrum eignum. </w:t>
            </w:r>
            <w:r w:rsidRPr="00447F64">
              <w:rPr>
                <w:rFonts w:ascii="Arial" w:eastAsia="Times New Roman" w:hAnsi="Arial" w:cs="Arial"/>
                <w:i/>
                <w:iCs/>
                <w:sz w:val="24"/>
                <w:szCs w:val="24"/>
                <w:lang w:eastAsia="is-IS"/>
              </w:rPr>
              <w:t xml:space="preserve">Sölu- og kaupréttur </w:t>
            </w:r>
            <w:r w:rsidRPr="00447F64">
              <w:rPr>
                <w:rFonts w:ascii="Arial" w:eastAsia="Times New Roman" w:hAnsi="Arial" w:cs="Arial"/>
                <w:sz w:val="24"/>
                <w:szCs w:val="24"/>
                <w:lang w:eastAsia="is-IS"/>
              </w:rPr>
              <w:t xml:space="preserve">sem fjármálafyrirtækið á eða hefur gert samning um telst vera hluti af skortstöðu. Sjá einnig </w:t>
            </w:r>
            <w:proofErr w:type="spellStart"/>
            <w:r w:rsidRPr="00447F64">
              <w:rPr>
                <w:rFonts w:ascii="Arial" w:eastAsia="Times New Roman" w:hAnsi="Arial" w:cs="Arial"/>
                <w:i/>
                <w:iCs/>
                <w:sz w:val="24"/>
                <w:szCs w:val="24"/>
                <w:lang w:eastAsia="is-IS"/>
              </w:rPr>
              <w:t>gnóttstaða</w:t>
            </w:r>
            <w:proofErr w:type="spellEnd"/>
            <w:r w:rsidRPr="00447F64">
              <w:rPr>
                <w:rFonts w:ascii="Arial" w:eastAsia="Times New Roman" w:hAnsi="Arial" w:cs="Arial"/>
                <w:i/>
                <w:iCs/>
                <w:sz w:val="24"/>
                <w:szCs w:val="24"/>
                <w:lang w:eastAsia="is-IS"/>
              </w:rPr>
              <w:t xml:space="preserve"> og nettóstaða.</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i/>
                <w:iCs/>
                <w:sz w:val="24"/>
                <w:szCs w:val="24"/>
                <w:lang w:eastAsia="is-IS"/>
              </w:rPr>
              <w:t xml:space="preserve">Skortsala (e. </w:t>
            </w:r>
            <w:proofErr w:type="spellStart"/>
            <w:r w:rsidRPr="00447F64">
              <w:rPr>
                <w:rFonts w:ascii="Arial" w:eastAsia="Times New Roman" w:hAnsi="Arial" w:cs="Arial"/>
                <w:i/>
                <w:iCs/>
                <w:sz w:val="24"/>
                <w:szCs w:val="24"/>
                <w:lang w:eastAsia="is-IS"/>
              </w:rPr>
              <w:t>short</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sale</w:t>
            </w:r>
            <w:proofErr w:type="spellEnd"/>
            <w:r w:rsidRPr="00447F64">
              <w:rPr>
                <w:rFonts w:ascii="Arial" w:eastAsia="Times New Roman" w:hAnsi="Arial" w:cs="Arial"/>
                <w:i/>
                <w:iCs/>
                <w:sz w:val="24"/>
                <w:szCs w:val="24"/>
                <w:lang w:eastAsia="is-IS"/>
              </w:rPr>
              <w:t xml:space="preserve">): </w:t>
            </w:r>
            <w:r w:rsidRPr="00447F64">
              <w:rPr>
                <w:rFonts w:ascii="Arial" w:eastAsia="Times New Roman" w:hAnsi="Arial" w:cs="Arial"/>
                <w:sz w:val="24"/>
                <w:szCs w:val="24"/>
                <w:lang w:eastAsia="is-IS"/>
              </w:rPr>
              <w:t>Sala á verðbréfum eða öðrum eignum sem ekki eru í eigu seljanda á þeim tíma þegar salan fer fram.</w:t>
            </w:r>
          </w:p>
          <w:p w:rsidR="008317D6" w:rsidRPr="00447F64" w:rsidRDefault="008317D6" w:rsidP="00447F64">
            <w:pPr>
              <w:spacing w:before="100" w:beforeAutospacing="1" w:after="100" w:afterAutospacing="1" w:line="240" w:lineRule="auto"/>
              <w:jc w:val="both"/>
              <w:rPr>
                <w:rFonts w:ascii="Arial" w:eastAsia="Times New Roman" w:hAnsi="Arial" w:cs="Arial"/>
                <w:i/>
                <w:iCs/>
                <w:sz w:val="24"/>
                <w:szCs w:val="24"/>
                <w:lang w:eastAsia="is-IS"/>
              </w:rPr>
            </w:pPr>
            <w:r w:rsidRPr="00447F64">
              <w:rPr>
                <w:rFonts w:ascii="Arial" w:eastAsia="Times New Roman" w:hAnsi="Arial" w:cs="Arial"/>
                <w:i/>
                <w:iCs/>
                <w:sz w:val="24"/>
                <w:szCs w:val="24"/>
                <w:lang w:eastAsia="is-IS"/>
              </w:rPr>
              <w:t xml:space="preserve">Skráð verðbréf: </w:t>
            </w:r>
            <w:r w:rsidRPr="00447F64">
              <w:rPr>
                <w:rFonts w:ascii="Arial" w:eastAsia="Times New Roman" w:hAnsi="Arial" w:cs="Arial"/>
                <w:sz w:val="24"/>
                <w:szCs w:val="24"/>
                <w:lang w:eastAsia="is-IS"/>
              </w:rPr>
              <w:t xml:space="preserve">Verðbréf sem hefur verið skráð á </w:t>
            </w:r>
            <w:r w:rsidRPr="00447F64">
              <w:rPr>
                <w:rFonts w:ascii="Arial" w:eastAsia="Times New Roman" w:hAnsi="Arial" w:cs="Arial"/>
                <w:i/>
                <w:iCs/>
                <w:sz w:val="24"/>
                <w:szCs w:val="24"/>
                <w:lang w:eastAsia="is-IS"/>
              </w:rPr>
              <w:t xml:space="preserve">skipulegum verðbréfamarkaði. </w:t>
            </w:r>
            <w:r w:rsidRPr="00447F64">
              <w:rPr>
                <w:rFonts w:ascii="Arial" w:eastAsia="Times New Roman" w:hAnsi="Arial" w:cs="Arial"/>
                <w:sz w:val="24"/>
                <w:szCs w:val="24"/>
                <w:lang w:eastAsia="is-IS"/>
              </w:rPr>
              <w:t xml:space="preserve">Sjá einnig </w:t>
            </w:r>
            <w:r w:rsidRPr="00447F64">
              <w:rPr>
                <w:rFonts w:ascii="Arial" w:eastAsia="Times New Roman" w:hAnsi="Arial" w:cs="Arial"/>
                <w:i/>
                <w:iCs/>
                <w:sz w:val="24"/>
                <w:szCs w:val="24"/>
                <w:lang w:eastAsia="is-IS"/>
              </w:rPr>
              <w:t>skipulegur verðbréfamarkaður.</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i/>
                <w:iCs/>
                <w:sz w:val="24"/>
                <w:szCs w:val="24"/>
                <w:lang w:eastAsia="is-IS"/>
              </w:rPr>
              <w:t xml:space="preserve">Skuldaskjal (e. debt </w:t>
            </w:r>
            <w:proofErr w:type="spellStart"/>
            <w:r w:rsidRPr="00447F64">
              <w:rPr>
                <w:rFonts w:ascii="Arial" w:eastAsia="Times New Roman" w:hAnsi="Arial" w:cs="Arial"/>
                <w:i/>
                <w:iCs/>
                <w:sz w:val="24"/>
                <w:szCs w:val="24"/>
                <w:lang w:eastAsia="is-IS"/>
              </w:rPr>
              <w:t>instruments</w:t>
            </w:r>
            <w:proofErr w:type="spellEnd"/>
            <w:r w:rsidRPr="00447F64">
              <w:rPr>
                <w:rFonts w:ascii="Arial" w:eastAsia="Times New Roman" w:hAnsi="Arial" w:cs="Arial"/>
                <w:i/>
                <w:iCs/>
                <w:sz w:val="24"/>
                <w:szCs w:val="24"/>
                <w:lang w:eastAsia="is-IS"/>
              </w:rPr>
              <w:t>): Fjármálagerningur s</w:t>
            </w:r>
            <w:r w:rsidRPr="00447F64">
              <w:rPr>
                <w:rFonts w:ascii="Arial" w:eastAsia="Times New Roman" w:hAnsi="Arial" w:cs="Arial"/>
                <w:sz w:val="24"/>
                <w:szCs w:val="24"/>
                <w:lang w:eastAsia="is-IS"/>
              </w:rPr>
              <w:t>em felur í sér loforð um greiðslu.</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i/>
                <w:iCs/>
                <w:sz w:val="24"/>
                <w:szCs w:val="24"/>
                <w:lang w:eastAsia="is-IS"/>
              </w:rPr>
              <w:t xml:space="preserve">Sprota- og framtaksfjárfestingar (e. </w:t>
            </w:r>
            <w:proofErr w:type="spellStart"/>
            <w:r w:rsidRPr="00447F64">
              <w:rPr>
                <w:rFonts w:ascii="Arial" w:eastAsia="Times New Roman" w:hAnsi="Arial" w:cs="Arial"/>
                <w:i/>
                <w:iCs/>
                <w:sz w:val="24"/>
                <w:szCs w:val="24"/>
                <w:lang w:eastAsia="is-IS"/>
              </w:rPr>
              <w:t>venture</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capital</w:t>
            </w:r>
            <w:proofErr w:type="spellEnd"/>
            <w:r w:rsidRPr="00447F64">
              <w:rPr>
                <w:rFonts w:ascii="Arial" w:eastAsia="Times New Roman" w:hAnsi="Arial" w:cs="Arial"/>
                <w:i/>
                <w:iCs/>
                <w:sz w:val="24"/>
                <w:szCs w:val="24"/>
                <w:lang w:eastAsia="is-IS"/>
              </w:rPr>
              <w:t xml:space="preserve"> and </w:t>
            </w:r>
            <w:proofErr w:type="spellStart"/>
            <w:r w:rsidRPr="00447F64">
              <w:rPr>
                <w:rFonts w:ascii="Arial" w:eastAsia="Times New Roman" w:hAnsi="Arial" w:cs="Arial"/>
                <w:i/>
                <w:iCs/>
                <w:sz w:val="24"/>
                <w:szCs w:val="24"/>
                <w:lang w:eastAsia="is-IS"/>
              </w:rPr>
              <w:t>private</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equity</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instruments</w:t>
            </w:r>
            <w:proofErr w:type="spellEnd"/>
            <w:r w:rsidRPr="00447F64">
              <w:rPr>
                <w:rFonts w:ascii="Arial" w:eastAsia="Times New Roman" w:hAnsi="Arial" w:cs="Arial"/>
                <w:i/>
                <w:iCs/>
                <w:sz w:val="24"/>
                <w:szCs w:val="24"/>
                <w:lang w:eastAsia="is-IS"/>
              </w:rPr>
              <w:t xml:space="preserve">): </w:t>
            </w:r>
            <w:r w:rsidRPr="00447F64">
              <w:rPr>
                <w:rFonts w:ascii="Arial" w:eastAsia="Times New Roman" w:hAnsi="Arial" w:cs="Arial"/>
                <w:sz w:val="24"/>
                <w:szCs w:val="24"/>
                <w:lang w:eastAsia="is-IS"/>
              </w:rPr>
              <w:t>Fjárfestingar sem einkennast af því að fjárfest er með beinum eða óbeinum hætti í óskráðum, einkareknum fyrirtækjum með það að markmiði að auka virði þeirra, venjulega á 3-10 árum, með endursölu í huga að þeim tíma loknum. Framtaks</w:t>
            </w:r>
            <w:r w:rsidRPr="00447F64">
              <w:rPr>
                <w:rFonts w:ascii="Arial" w:eastAsia="Times New Roman" w:hAnsi="Arial" w:cs="Arial"/>
                <w:sz w:val="24"/>
                <w:szCs w:val="24"/>
                <w:lang w:eastAsia="is-IS"/>
              </w:rPr>
              <w:softHyphen/>
              <w:t xml:space="preserve">fjárfestingar eru almennt flokkaðar sem óhefðbundnar fjárfestingar </w:t>
            </w:r>
            <w:r w:rsidRPr="00447F64">
              <w:rPr>
                <w:rFonts w:ascii="Arial" w:eastAsia="Times New Roman" w:hAnsi="Arial" w:cs="Arial"/>
                <w:i/>
                <w:iCs/>
                <w:sz w:val="24"/>
                <w:szCs w:val="24"/>
                <w:lang w:eastAsia="is-IS"/>
              </w:rPr>
              <w:t xml:space="preserve">(e. </w:t>
            </w:r>
            <w:proofErr w:type="spellStart"/>
            <w:r w:rsidRPr="00447F64">
              <w:rPr>
                <w:rFonts w:ascii="Arial" w:eastAsia="Times New Roman" w:hAnsi="Arial" w:cs="Arial"/>
                <w:i/>
                <w:iCs/>
                <w:sz w:val="24"/>
                <w:szCs w:val="24"/>
                <w:lang w:eastAsia="is-IS"/>
              </w:rPr>
              <w:t>alternative</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investments</w:t>
            </w:r>
            <w:proofErr w:type="spellEnd"/>
            <w:r w:rsidRPr="00447F64">
              <w:rPr>
                <w:rFonts w:ascii="Arial" w:eastAsia="Times New Roman" w:hAnsi="Arial" w:cs="Arial"/>
                <w:i/>
                <w:iCs/>
                <w:sz w:val="24"/>
                <w:szCs w:val="24"/>
                <w:lang w:eastAsia="is-IS"/>
              </w:rPr>
              <w:t>)</w:t>
            </w:r>
            <w:r w:rsidRPr="00447F64">
              <w:rPr>
                <w:rFonts w:ascii="Arial" w:eastAsia="Times New Roman" w:hAnsi="Arial" w:cs="Arial"/>
                <w:sz w:val="24"/>
                <w:szCs w:val="24"/>
                <w:lang w:eastAsia="is-IS"/>
              </w:rPr>
              <w:t xml:space="preserve">. Framtaksfjárfestingum er venjulega skipt í þrjá megin undirflokka, sprotafjárfestingar, útkaup </w:t>
            </w:r>
            <w:r w:rsidRPr="00447F64">
              <w:rPr>
                <w:rFonts w:ascii="Arial" w:eastAsia="Times New Roman" w:hAnsi="Arial" w:cs="Arial"/>
                <w:i/>
                <w:iCs/>
                <w:sz w:val="24"/>
                <w:szCs w:val="24"/>
                <w:lang w:eastAsia="is-IS"/>
              </w:rPr>
              <w:t xml:space="preserve">(e. </w:t>
            </w:r>
            <w:proofErr w:type="spellStart"/>
            <w:r w:rsidRPr="00447F64">
              <w:rPr>
                <w:rFonts w:ascii="Arial" w:eastAsia="Times New Roman" w:hAnsi="Arial" w:cs="Arial"/>
                <w:i/>
                <w:iCs/>
                <w:sz w:val="24"/>
                <w:szCs w:val="24"/>
                <w:lang w:eastAsia="is-IS"/>
              </w:rPr>
              <w:t>buyouts</w:t>
            </w:r>
            <w:proofErr w:type="spellEnd"/>
            <w:r w:rsidRPr="00447F64">
              <w:rPr>
                <w:rFonts w:ascii="Arial" w:eastAsia="Times New Roman" w:hAnsi="Arial" w:cs="Arial"/>
                <w:i/>
                <w:iCs/>
                <w:sz w:val="24"/>
                <w:szCs w:val="24"/>
                <w:lang w:eastAsia="is-IS"/>
              </w:rPr>
              <w:t>)</w:t>
            </w:r>
            <w:r w:rsidRPr="00447F64">
              <w:rPr>
                <w:rFonts w:ascii="Arial" w:eastAsia="Times New Roman" w:hAnsi="Arial" w:cs="Arial"/>
                <w:sz w:val="24"/>
                <w:szCs w:val="24"/>
                <w:lang w:eastAsia="is-IS"/>
              </w:rPr>
              <w:t xml:space="preserve"> og sérstakar aðstæður </w:t>
            </w:r>
            <w:r w:rsidRPr="00447F64">
              <w:rPr>
                <w:rFonts w:ascii="Arial" w:eastAsia="Times New Roman" w:hAnsi="Arial" w:cs="Arial"/>
                <w:i/>
                <w:iCs/>
                <w:sz w:val="24"/>
                <w:szCs w:val="24"/>
                <w:lang w:eastAsia="is-IS"/>
              </w:rPr>
              <w:t xml:space="preserve">(e. </w:t>
            </w:r>
            <w:proofErr w:type="spellStart"/>
            <w:r w:rsidRPr="00447F64">
              <w:rPr>
                <w:rFonts w:ascii="Arial" w:eastAsia="Times New Roman" w:hAnsi="Arial" w:cs="Arial"/>
                <w:i/>
                <w:iCs/>
                <w:sz w:val="24"/>
                <w:szCs w:val="24"/>
                <w:lang w:eastAsia="is-IS"/>
              </w:rPr>
              <w:t>special</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situations</w:t>
            </w:r>
            <w:proofErr w:type="spellEnd"/>
            <w:r w:rsidRPr="00447F64">
              <w:rPr>
                <w:rFonts w:ascii="Arial" w:eastAsia="Times New Roman" w:hAnsi="Arial" w:cs="Arial"/>
                <w:i/>
                <w:iCs/>
                <w:sz w:val="24"/>
                <w:szCs w:val="24"/>
                <w:lang w:eastAsia="is-IS"/>
              </w:rPr>
              <w:t>)</w:t>
            </w:r>
            <w:r w:rsidRPr="00447F64">
              <w:rPr>
                <w:rFonts w:ascii="Arial" w:eastAsia="Times New Roman" w:hAnsi="Arial" w:cs="Arial"/>
                <w:sz w:val="24"/>
                <w:szCs w:val="24"/>
                <w:lang w:eastAsia="is-IS"/>
              </w:rPr>
              <w:t>. Framtaksfjárfestar fjárfesta í fyrirtækjum á öllum vaxtarskeiðum, allt frá fjárfestingum í hugmyndum frumkvöðla upp í kaup á stórum fyrirtækjum sem náð hafa sterkri markaðsstöðu.</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i/>
                <w:iCs/>
                <w:sz w:val="24"/>
                <w:szCs w:val="24"/>
                <w:lang w:eastAsia="is-IS"/>
              </w:rPr>
              <w:t xml:space="preserve">Staðlaður framvirkur samningur (e. </w:t>
            </w:r>
            <w:proofErr w:type="spellStart"/>
            <w:r w:rsidRPr="00447F64">
              <w:rPr>
                <w:rFonts w:ascii="Arial" w:eastAsia="Times New Roman" w:hAnsi="Arial" w:cs="Arial"/>
                <w:i/>
                <w:iCs/>
                <w:sz w:val="24"/>
                <w:szCs w:val="24"/>
                <w:lang w:eastAsia="is-IS"/>
              </w:rPr>
              <w:t>futures</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contract</w:t>
            </w:r>
            <w:proofErr w:type="spellEnd"/>
            <w:r w:rsidRPr="00447F64">
              <w:rPr>
                <w:rFonts w:ascii="Arial" w:eastAsia="Times New Roman" w:hAnsi="Arial" w:cs="Arial"/>
                <w:i/>
                <w:iCs/>
                <w:sz w:val="24"/>
                <w:szCs w:val="24"/>
                <w:lang w:eastAsia="is-IS"/>
              </w:rPr>
              <w:t>/</w:t>
            </w:r>
            <w:proofErr w:type="spellStart"/>
            <w:r w:rsidRPr="00447F64">
              <w:rPr>
                <w:rFonts w:ascii="Arial" w:eastAsia="Times New Roman" w:hAnsi="Arial" w:cs="Arial"/>
                <w:i/>
                <w:iCs/>
                <w:sz w:val="24"/>
                <w:szCs w:val="24"/>
                <w:lang w:eastAsia="is-IS"/>
              </w:rPr>
              <w:t>interest</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rate</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future</w:t>
            </w:r>
            <w:proofErr w:type="spellEnd"/>
            <w:r w:rsidRPr="00447F64">
              <w:rPr>
                <w:rFonts w:ascii="Arial" w:eastAsia="Times New Roman" w:hAnsi="Arial" w:cs="Arial"/>
                <w:i/>
                <w:iCs/>
                <w:sz w:val="24"/>
                <w:szCs w:val="24"/>
                <w:lang w:eastAsia="is-IS"/>
              </w:rPr>
              <w:t xml:space="preserve">): </w:t>
            </w:r>
            <w:r w:rsidRPr="00447F64">
              <w:rPr>
                <w:rFonts w:ascii="Arial" w:eastAsia="Times New Roman" w:hAnsi="Arial" w:cs="Arial"/>
                <w:sz w:val="24"/>
                <w:szCs w:val="24"/>
                <w:lang w:eastAsia="is-IS"/>
              </w:rPr>
              <w:t xml:space="preserve">Staðlaður afleiðusamningur sem verslað er með á skipulögðum markaði, er tryggður og sem gefur handhafa rétt til að kaupa eða selja tiltekinn fjármálagerning á fyrirfram ákveðnum degi og á fyrirfram ákveðnu verði. Breyting á markaðsvirði samnings er gerð upp á hverjum degi og/eða samningur tryggður á annan hátt af </w:t>
            </w:r>
            <w:r w:rsidRPr="00447F64">
              <w:rPr>
                <w:rFonts w:ascii="Arial" w:eastAsia="Times New Roman" w:hAnsi="Arial" w:cs="Arial"/>
                <w:i/>
                <w:iCs/>
                <w:sz w:val="24"/>
                <w:szCs w:val="24"/>
                <w:lang w:eastAsia="is-IS"/>
              </w:rPr>
              <w:t>skipulegum verðbréfamarkaði</w:t>
            </w:r>
            <w:r w:rsidRPr="00447F64">
              <w:rPr>
                <w:rFonts w:ascii="Arial" w:eastAsia="Times New Roman" w:hAnsi="Arial" w:cs="Arial"/>
                <w:sz w:val="24"/>
                <w:szCs w:val="24"/>
                <w:lang w:eastAsia="is-IS"/>
              </w:rPr>
              <w:t>, viðskiptavaka eða greiðslujöfnunarstöð.</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i/>
                <w:iCs/>
                <w:sz w:val="24"/>
                <w:szCs w:val="24"/>
                <w:lang w:eastAsia="is-IS"/>
              </w:rPr>
              <w:t xml:space="preserve">Stór áhættuskuldbinding: </w:t>
            </w:r>
            <w:r w:rsidRPr="00447F64">
              <w:rPr>
                <w:rFonts w:ascii="Arial" w:eastAsia="Times New Roman" w:hAnsi="Arial" w:cs="Arial"/>
                <w:sz w:val="24"/>
                <w:szCs w:val="24"/>
                <w:lang w:eastAsia="is-IS"/>
              </w:rPr>
              <w:t>Áhættuskuldbindingar sem reglur Fjármálaeftirlitsins um stórar áhættuskuldbindingar hjá fjármálafyrirtækjum ná til.</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i/>
                <w:iCs/>
                <w:sz w:val="24"/>
                <w:szCs w:val="24"/>
                <w:lang w:eastAsia="is-IS"/>
              </w:rPr>
              <w:lastRenderedPageBreak/>
              <w:t xml:space="preserve">Stöðuáhætta (e. </w:t>
            </w:r>
            <w:proofErr w:type="spellStart"/>
            <w:r w:rsidRPr="00447F64">
              <w:rPr>
                <w:rFonts w:ascii="Arial" w:eastAsia="Times New Roman" w:hAnsi="Arial" w:cs="Arial"/>
                <w:i/>
                <w:iCs/>
                <w:sz w:val="24"/>
                <w:szCs w:val="24"/>
                <w:lang w:eastAsia="is-IS"/>
              </w:rPr>
              <w:t>position</w:t>
            </w:r>
            <w:proofErr w:type="spellEnd"/>
            <w:r w:rsidRPr="00447F64">
              <w:rPr>
                <w:rFonts w:ascii="Arial" w:eastAsia="Times New Roman" w:hAnsi="Arial" w:cs="Arial"/>
                <w:i/>
                <w:iCs/>
                <w:sz w:val="24"/>
                <w:szCs w:val="24"/>
                <w:lang w:eastAsia="is-IS"/>
              </w:rPr>
              <w:t xml:space="preserve"> risk): </w:t>
            </w:r>
            <w:r w:rsidRPr="00447F64">
              <w:rPr>
                <w:rFonts w:ascii="Arial" w:eastAsia="Times New Roman" w:hAnsi="Arial" w:cs="Arial"/>
                <w:sz w:val="24"/>
                <w:szCs w:val="24"/>
                <w:lang w:eastAsia="is-IS"/>
              </w:rPr>
              <w:t xml:space="preserve">Hætta sem tengd er stöðu fjármálafyrirtækis í tilteknum </w:t>
            </w:r>
            <w:r w:rsidRPr="00447F64">
              <w:rPr>
                <w:rFonts w:ascii="Arial" w:eastAsia="Times New Roman" w:hAnsi="Arial" w:cs="Arial"/>
                <w:i/>
                <w:iCs/>
                <w:sz w:val="24"/>
                <w:szCs w:val="24"/>
                <w:lang w:eastAsia="is-IS"/>
              </w:rPr>
              <w:t>fjármálagerningi</w:t>
            </w:r>
            <w:r w:rsidRPr="00447F64">
              <w:rPr>
                <w:rFonts w:ascii="Arial" w:eastAsia="Times New Roman" w:hAnsi="Arial" w:cs="Arial"/>
                <w:sz w:val="24"/>
                <w:szCs w:val="24"/>
                <w:lang w:eastAsia="is-IS"/>
              </w:rPr>
              <w:t xml:space="preserve"> og sem er tilkomin vegna hugsanlegra breytinga á verði viðkomandi gernings. Með sérstakri stöðuáhættu er átt við hættu á breytingum á verði gerningsins, vegna aðstæðna sem tengjast útgefanda þess, eða útgefanda grundvallargernings þegar um er að ræða afleiðusamning. Með almennri stöðuáhættu er átt við hættu á breytingum á verði fjármálagernings, vegna aðstæðna sem eru óháðar útgefanda þess, eða útgefanda grundvallargernings þegar um afleiðusamning er að ræða.</w:t>
            </w:r>
          </w:p>
          <w:p w:rsidR="008317D6" w:rsidRPr="00447F64" w:rsidRDefault="008317D6" w:rsidP="00447F64">
            <w:pPr>
              <w:spacing w:before="100" w:beforeAutospacing="1" w:after="100" w:afterAutospacing="1" w:line="240" w:lineRule="auto"/>
              <w:jc w:val="both"/>
              <w:rPr>
                <w:rFonts w:ascii="Arial" w:eastAsia="Times New Roman" w:hAnsi="Arial" w:cs="Arial"/>
                <w:i/>
                <w:iCs/>
                <w:sz w:val="24"/>
                <w:szCs w:val="24"/>
                <w:lang w:eastAsia="is-IS"/>
              </w:rPr>
            </w:pPr>
            <w:r w:rsidRPr="00447F64">
              <w:rPr>
                <w:rFonts w:ascii="Arial" w:eastAsia="Times New Roman" w:hAnsi="Arial" w:cs="Arial"/>
                <w:i/>
                <w:iCs/>
                <w:sz w:val="24"/>
                <w:szCs w:val="24"/>
                <w:lang w:eastAsia="is-IS"/>
              </w:rPr>
              <w:t xml:space="preserve">Sölu- og endurkaupaviðskipti: </w:t>
            </w:r>
            <w:r w:rsidRPr="00447F64">
              <w:rPr>
                <w:rFonts w:ascii="Arial" w:eastAsia="Times New Roman" w:hAnsi="Arial" w:cs="Arial"/>
                <w:sz w:val="24"/>
                <w:szCs w:val="24"/>
                <w:lang w:eastAsia="is-IS"/>
              </w:rPr>
              <w:t xml:space="preserve">Viðskipti sem fela í sér framsal fyrirtækis eða viðskiptavinar (framseljanda) til annars fyrirtækis eða viðskiptavinar (afsalshafa) á eignum, t.d. víxlum, skuldabréfum eða öðrum framseljanlegum verðbréfum, með samningi um að sömu eignir verði síðar framseldar aftur til framseljanda á tilteknu verði. Sjá einnig </w:t>
            </w:r>
            <w:r w:rsidRPr="00447F64">
              <w:rPr>
                <w:rFonts w:ascii="Arial" w:eastAsia="Times New Roman" w:hAnsi="Arial" w:cs="Arial"/>
                <w:i/>
                <w:iCs/>
                <w:sz w:val="24"/>
                <w:szCs w:val="24"/>
                <w:lang w:eastAsia="is-IS"/>
              </w:rPr>
              <w:t>raunveruleg sölu- og endurkaupaviðskipti og sala með endurkauparétti.</w:t>
            </w:r>
          </w:p>
          <w:p w:rsidR="008317D6" w:rsidRPr="00447F64" w:rsidRDefault="008317D6" w:rsidP="00447F64">
            <w:pPr>
              <w:spacing w:before="100" w:beforeAutospacing="1" w:after="100" w:afterAutospacing="1" w:line="240" w:lineRule="auto"/>
              <w:jc w:val="both"/>
              <w:rPr>
                <w:rFonts w:ascii="Arial" w:eastAsia="Times New Roman" w:hAnsi="Arial" w:cs="Arial"/>
                <w:i/>
                <w:iCs/>
                <w:sz w:val="24"/>
                <w:szCs w:val="24"/>
                <w:lang w:eastAsia="is-IS"/>
              </w:rPr>
            </w:pPr>
            <w:r w:rsidRPr="00447F64">
              <w:rPr>
                <w:rFonts w:ascii="Arial" w:eastAsia="Times New Roman" w:hAnsi="Arial" w:cs="Arial"/>
                <w:i/>
                <w:iCs/>
                <w:sz w:val="24"/>
                <w:szCs w:val="24"/>
                <w:lang w:eastAsia="is-IS"/>
              </w:rPr>
              <w:t xml:space="preserve">Söluréttur (e. </w:t>
            </w:r>
            <w:proofErr w:type="spellStart"/>
            <w:r w:rsidRPr="00447F64">
              <w:rPr>
                <w:rFonts w:ascii="Arial" w:eastAsia="Times New Roman" w:hAnsi="Arial" w:cs="Arial"/>
                <w:i/>
                <w:iCs/>
                <w:sz w:val="24"/>
                <w:szCs w:val="24"/>
                <w:lang w:eastAsia="is-IS"/>
              </w:rPr>
              <w:t>put</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option</w:t>
            </w:r>
            <w:proofErr w:type="spellEnd"/>
            <w:r w:rsidRPr="00447F64">
              <w:rPr>
                <w:rFonts w:ascii="Arial" w:eastAsia="Times New Roman" w:hAnsi="Arial" w:cs="Arial"/>
                <w:i/>
                <w:iCs/>
                <w:sz w:val="24"/>
                <w:szCs w:val="24"/>
                <w:lang w:eastAsia="is-IS"/>
              </w:rPr>
              <w:t xml:space="preserve">): </w:t>
            </w:r>
            <w:r w:rsidRPr="00447F64">
              <w:rPr>
                <w:rFonts w:ascii="Arial" w:eastAsia="Times New Roman" w:hAnsi="Arial" w:cs="Arial"/>
                <w:sz w:val="24"/>
                <w:szCs w:val="24"/>
                <w:lang w:eastAsia="is-IS"/>
              </w:rPr>
              <w:t xml:space="preserve">Réttur til að selja vöru, verðbréf eða gjaldeyri á fyrirfram ákveðnu verði, annaðhvort á ákveðnum degi eða fyrir ákveðinn dag. Slíkur samningur er bindandi fyrir þann sem selur slíkan samning en kaupandi getur valið hvort hann nýtir sér réttinn eða ekki. Sjá einnig </w:t>
            </w:r>
            <w:r w:rsidRPr="00447F64">
              <w:rPr>
                <w:rFonts w:ascii="Arial" w:eastAsia="Times New Roman" w:hAnsi="Arial" w:cs="Arial"/>
                <w:i/>
                <w:iCs/>
                <w:sz w:val="24"/>
                <w:szCs w:val="24"/>
                <w:lang w:eastAsia="is-IS"/>
              </w:rPr>
              <w:t>valréttur</w:t>
            </w:r>
            <w:r w:rsidRPr="00447F64">
              <w:rPr>
                <w:rFonts w:ascii="Arial" w:eastAsia="Times New Roman" w:hAnsi="Arial" w:cs="Arial"/>
                <w:sz w:val="24"/>
                <w:szCs w:val="24"/>
                <w:lang w:eastAsia="is-IS"/>
              </w:rPr>
              <w:t xml:space="preserve"> og </w:t>
            </w:r>
            <w:r w:rsidRPr="00447F64">
              <w:rPr>
                <w:rFonts w:ascii="Arial" w:eastAsia="Times New Roman" w:hAnsi="Arial" w:cs="Arial"/>
                <w:i/>
                <w:iCs/>
                <w:sz w:val="24"/>
                <w:szCs w:val="24"/>
                <w:lang w:eastAsia="is-IS"/>
              </w:rPr>
              <w:t>kaupréttur.</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i/>
                <w:iCs/>
                <w:sz w:val="24"/>
                <w:szCs w:val="24"/>
                <w:lang w:eastAsia="is-IS"/>
              </w:rPr>
              <w:t xml:space="preserve">Tap að gefnum vanefndum (e. loss </w:t>
            </w:r>
            <w:proofErr w:type="spellStart"/>
            <w:r w:rsidRPr="00447F64">
              <w:rPr>
                <w:rFonts w:ascii="Arial" w:eastAsia="Times New Roman" w:hAnsi="Arial" w:cs="Arial"/>
                <w:i/>
                <w:iCs/>
                <w:sz w:val="24"/>
                <w:szCs w:val="24"/>
                <w:lang w:eastAsia="is-IS"/>
              </w:rPr>
              <w:t>given</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default</w:t>
            </w:r>
            <w:proofErr w:type="spellEnd"/>
            <w:r w:rsidRPr="00447F64">
              <w:rPr>
                <w:rFonts w:ascii="Arial" w:eastAsia="Times New Roman" w:hAnsi="Arial" w:cs="Arial"/>
                <w:i/>
                <w:iCs/>
                <w:sz w:val="24"/>
                <w:szCs w:val="24"/>
                <w:lang w:eastAsia="is-IS"/>
              </w:rPr>
              <w:t xml:space="preserve">, LGD): </w:t>
            </w:r>
            <w:r w:rsidRPr="00447F64">
              <w:rPr>
                <w:rFonts w:ascii="Arial" w:eastAsia="Times New Roman" w:hAnsi="Arial" w:cs="Arial"/>
                <w:sz w:val="24"/>
                <w:szCs w:val="24"/>
                <w:lang w:eastAsia="is-IS"/>
              </w:rPr>
              <w:t>Hlutfall taps vegna vanefnda mótaðila af útistandandi heildarfjárhæð þegar vanefndir verða.</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i/>
                <w:iCs/>
                <w:sz w:val="24"/>
                <w:szCs w:val="24"/>
                <w:lang w:eastAsia="is-IS"/>
              </w:rPr>
              <w:t xml:space="preserve">Útlánaígildi (e. </w:t>
            </w:r>
            <w:proofErr w:type="spellStart"/>
            <w:r w:rsidRPr="00447F64">
              <w:rPr>
                <w:rFonts w:ascii="Arial" w:eastAsia="Times New Roman" w:hAnsi="Arial" w:cs="Arial"/>
                <w:i/>
                <w:iCs/>
                <w:sz w:val="24"/>
                <w:szCs w:val="24"/>
                <w:lang w:eastAsia="is-IS"/>
              </w:rPr>
              <w:t>credit</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equivalent</w:t>
            </w:r>
            <w:proofErr w:type="spellEnd"/>
            <w:r w:rsidRPr="00447F64">
              <w:rPr>
                <w:rFonts w:ascii="Arial" w:eastAsia="Times New Roman" w:hAnsi="Arial" w:cs="Arial"/>
                <w:i/>
                <w:iCs/>
                <w:sz w:val="24"/>
                <w:szCs w:val="24"/>
                <w:lang w:eastAsia="is-IS"/>
              </w:rPr>
              <w:t xml:space="preserve">): </w:t>
            </w:r>
            <w:r w:rsidRPr="00447F64">
              <w:rPr>
                <w:rFonts w:ascii="Arial" w:eastAsia="Times New Roman" w:hAnsi="Arial" w:cs="Arial"/>
                <w:sz w:val="24"/>
                <w:szCs w:val="24"/>
                <w:lang w:eastAsia="is-IS"/>
              </w:rPr>
              <w:t xml:space="preserve">Liðir utan efnahagsreiknings sem reiknaðir hafa verið til ígildis útlána. </w:t>
            </w:r>
            <w:r w:rsidRPr="00447F64">
              <w:rPr>
                <w:rFonts w:ascii="Arial" w:eastAsia="Times New Roman" w:hAnsi="Arial" w:cs="Arial"/>
                <w:i/>
                <w:iCs/>
                <w:sz w:val="24"/>
                <w:szCs w:val="24"/>
                <w:lang w:eastAsia="is-IS"/>
              </w:rPr>
              <w:t xml:space="preserve">Mótaðilaáhætta </w:t>
            </w:r>
            <w:r w:rsidRPr="00447F64">
              <w:rPr>
                <w:rFonts w:ascii="Arial" w:eastAsia="Times New Roman" w:hAnsi="Arial" w:cs="Arial"/>
                <w:sz w:val="24"/>
                <w:szCs w:val="24"/>
                <w:lang w:eastAsia="is-IS"/>
              </w:rPr>
              <w:t>fjármálafyrirtækis vegna liða utan efnahagsreiknings er reiknað af útlánaígildi þessara liða.</w:t>
            </w:r>
          </w:p>
          <w:p w:rsidR="008317D6" w:rsidRPr="00447F64" w:rsidRDefault="008317D6" w:rsidP="00447F64">
            <w:pPr>
              <w:spacing w:before="100" w:beforeAutospacing="1" w:after="100" w:afterAutospacing="1" w:line="240" w:lineRule="auto"/>
              <w:jc w:val="both"/>
              <w:rPr>
                <w:rFonts w:ascii="Arial" w:eastAsia="Times New Roman" w:hAnsi="Arial" w:cs="Arial"/>
                <w:i/>
                <w:iCs/>
                <w:sz w:val="24"/>
                <w:szCs w:val="24"/>
                <w:lang w:eastAsia="is-IS"/>
              </w:rPr>
            </w:pPr>
            <w:r w:rsidRPr="00447F64">
              <w:rPr>
                <w:rFonts w:ascii="Arial" w:eastAsia="Times New Roman" w:hAnsi="Arial" w:cs="Arial"/>
                <w:i/>
                <w:iCs/>
                <w:sz w:val="24"/>
                <w:szCs w:val="24"/>
                <w:lang w:eastAsia="is-IS"/>
              </w:rPr>
              <w:t xml:space="preserve">Valréttur/valréttarsamningur (e. </w:t>
            </w:r>
            <w:proofErr w:type="spellStart"/>
            <w:r w:rsidRPr="00447F64">
              <w:rPr>
                <w:rFonts w:ascii="Arial" w:eastAsia="Times New Roman" w:hAnsi="Arial" w:cs="Arial"/>
                <w:i/>
                <w:iCs/>
                <w:sz w:val="24"/>
                <w:szCs w:val="24"/>
                <w:lang w:eastAsia="is-IS"/>
              </w:rPr>
              <w:t>option</w:t>
            </w:r>
            <w:proofErr w:type="spellEnd"/>
            <w:r w:rsidRPr="00447F64">
              <w:rPr>
                <w:rFonts w:ascii="Arial" w:eastAsia="Times New Roman" w:hAnsi="Arial" w:cs="Arial"/>
                <w:i/>
                <w:iCs/>
                <w:sz w:val="24"/>
                <w:szCs w:val="24"/>
                <w:lang w:eastAsia="is-IS"/>
              </w:rPr>
              <w:t xml:space="preserve">): Kaupréttur </w:t>
            </w:r>
            <w:r w:rsidRPr="00447F64">
              <w:rPr>
                <w:rFonts w:ascii="Arial" w:eastAsia="Times New Roman" w:hAnsi="Arial" w:cs="Arial"/>
                <w:sz w:val="24"/>
                <w:szCs w:val="24"/>
                <w:lang w:eastAsia="is-IS"/>
              </w:rPr>
              <w:t xml:space="preserve">eða </w:t>
            </w:r>
            <w:r w:rsidRPr="00447F64">
              <w:rPr>
                <w:rFonts w:ascii="Arial" w:eastAsia="Times New Roman" w:hAnsi="Arial" w:cs="Arial"/>
                <w:i/>
                <w:iCs/>
                <w:sz w:val="24"/>
                <w:szCs w:val="24"/>
                <w:lang w:eastAsia="is-IS"/>
              </w:rPr>
              <w:t xml:space="preserve">söluréttur. </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i/>
                <w:iCs/>
                <w:sz w:val="24"/>
                <w:szCs w:val="24"/>
                <w:lang w:eastAsia="is-IS"/>
              </w:rPr>
              <w:t xml:space="preserve">Vaxta- og gjaldmiðlasamningur (e. </w:t>
            </w:r>
            <w:proofErr w:type="spellStart"/>
            <w:r w:rsidRPr="00447F64">
              <w:rPr>
                <w:rFonts w:ascii="Arial" w:eastAsia="Times New Roman" w:hAnsi="Arial" w:cs="Arial"/>
                <w:i/>
                <w:iCs/>
                <w:sz w:val="24"/>
                <w:szCs w:val="24"/>
                <w:lang w:eastAsia="is-IS"/>
              </w:rPr>
              <w:t>cross</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currency</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swap</w:t>
            </w:r>
            <w:proofErr w:type="spellEnd"/>
            <w:r w:rsidRPr="00447F64">
              <w:rPr>
                <w:rFonts w:ascii="Arial" w:eastAsia="Times New Roman" w:hAnsi="Arial" w:cs="Arial"/>
                <w:i/>
                <w:iCs/>
                <w:sz w:val="24"/>
                <w:szCs w:val="24"/>
                <w:lang w:eastAsia="is-IS"/>
              </w:rPr>
              <w:t xml:space="preserve">) </w:t>
            </w:r>
            <w:r w:rsidRPr="00447F64">
              <w:rPr>
                <w:rFonts w:ascii="Arial" w:eastAsia="Times New Roman" w:hAnsi="Arial" w:cs="Arial"/>
                <w:sz w:val="24"/>
                <w:szCs w:val="24"/>
                <w:lang w:eastAsia="is-IS"/>
              </w:rPr>
              <w:t>Samningur sem kveður á um bæði vaxta- og gjaldmiðlaskipti</w:t>
            </w:r>
            <w:r w:rsidRPr="00447F64">
              <w:rPr>
                <w:rFonts w:ascii="Arial" w:eastAsia="Times New Roman" w:hAnsi="Arial" w:cs="Arial"/>
                <w:i/>
                <w:iCs/>
                <w:sz w:val="24"/>
                <w:szCs w:val="24"/>
                <w:lang w:eastAsia="is-IS"/>
              </w:rPr>
              <w:t xml:space="preserve">, </w:t>
            </w:r>
            <w:r w:rsidRPr="00447F64">
              <w:rPr>
                <w:rFonts w:ascii="Arial" w:eastAsia="Times New Roman" w:hAnsi="Arial" w:cs="Arial"/>
                <w:sz w:val="24"/>
                <w:szCs w:val="24"/>
                <w:lang w:eastAsia="is-IS"/>
              </w:rPr>
              <w:t>þ.e. að samningsaðilar skiptist á höfuðstól tveggja mynta á ákveðnu gengi í framtíðinni ásamt vaxtagreiðslum yfir ákveðið tímabil. Skipst er á höfuðstól í lokin, en einnig oft í upphafi samnings.</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i/>
                <w:iCs/>
                <w:sz w:val="24"/>
                <w:szCs w:val="24"/>
                <w:lang w:eastAsia="is-IS"/>
              </w:rPr>
              <w:t xml:space="preserve">Vaxtaskiptasamningur (e. </w:t>
            </w:r>
            <w:proofErr w:type="spellStart"/>
            <w:r w:rsidRPr="00447F64">
              <w:rPr>
                <w:rFonts w:ascii="Arial" w:eastAsia="Times New Roman" w:hAnsi="Arial" w:cs="Arial"/>
                <w:i/>
                <w:iCs/>
                <w:sz w:val="24"/>
                <w:szCs w:val="24"/>
                <w:lang w:eastAsia="is-IS"/>
              </w:rPr>
              <w:t>interest</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rate</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swap</w:t>
            </w:r>
            <w:proofErr w:type="spellEnd"/>
            <w:r w:rsidRPr="00447F64">
              <w:rPr>
                <w:rFonts w:ascii="Arial" w:eastAsia="Times New Roman" w:hAnsi="Arial" w:cs="Arial"/>
                <w:i/>
                <w:iCs/>
                <w:sz w:val="24"/>
                <w:szCs w:val="24"/>
                <w:lang w:eastAsia="is-IS"/>
              </w:rPr>
              <w:t>/</w:t>
            </w:r>
            <w:proofErr w:type="spellStart"/>
            <w:r w:rsidRPr="00447F64">
              <w:rPr>
                <w:rFonts w:ascii="Arial" w:eastAsia="Times New Roman" w:hAnsi="Arial" w:cs="Arial"/>
                <w:i/>
                <w:iCs/>
                <w:sz w:val="24"/>
                <w:szCs w:val="24"/>
                <w:lang w:eastAsia="is-IS"/>
              </w:rPr>
              <w:t>single</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currency</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swap</w:t>
            </w:r>
            <w:proofErr w:type="spellEnd"/>
            <w:r w:rsidRPr="00447F64">
              <w:rPr>
                <w:rFonts w:ascii="Arial" w:eastAsia="Times New Roman" w:hAnsi="Arial" w:cs="Arial"/>
                <w:i/>
                <w:iCs/>
                <w:sz w:val="24"/>
                <w:szCs w:val="24"/>
                <w:lang w:eastAsia="is-IS"/>
              </w:rPr>
              <w:t>):</w:t>
            </w:r>
            <w:r w:rsidRPr="00447F64">
              <w:rPr>
                <w:rFonts w:ascii="Arial" w:eastAsia="Times New Roman" w:hAnsi="Arial" w:cs="Arial"/>
                <w:sz w:val="24"/>
                <w:szCs w:val="24"/>
                <w:lang w:eastAsia="is-IS"/>
              </w:rPr>
              <w:t xml:space="preserve"> Samningur sem kveður á um að samningsaðilar skiptist á vaxtagreiðslum m.t.t. þróunar vaxta í tilteknum gjaldmiðli. Ekki er skipst á </w:t>
            </w:r>
            <w:r w:rsidRPr="00447F64">
              <w:rPr>
                <w:rFonts w:ascii="Arial" w:eastAsia="Times New Roman" w:hAnsi="Arial" w:cs="Arial"/>
                <w:i/>
                <w:iCs/>
                <w:sz w:val="24"/>
                <w:szCs w:val="24"/>
                <w:lang w:eastAsia="is-IS"/>
              </w:rPr>
              <w:t>grundvallarfjárhæðinni</w:t>
            </w:r>
            <w:r w:rsidRPr="00447F64">
              <w:rPr>
                <w:rFonts w:ascii="Arial" w:eastAsia="Times New Roman" w:hAnsi="Arial" w:cs="Arial"/>
                <w:sz w:val="24"/>
                <w:szCs w:val="24"/>
                <w:lang w:eastAsia="is-IS"/>
              </w:rPr>
              <w:t>, heldur aðeins á vaxtamuninum sem reiknaður er af grundvallarfjárhæð</w:t>
            </w:r>
            <w:r w:rsidRPr="00447F64">
              <w:rPr>
                <w:rFonts w:ascii="Arial" w:eastAsia="Times New Roman" w:hAnsi="Arial" w:cs="Arial"/>
                <w:i/>
                <w:iCs/>
                <w:sz w:val="24"/>
                <w:szCs w:val="24"/>
                <w:lang w:eastAsia="is-IS"/>
              </w:rPr>
              <w:t xml:space="preserve"> </w:t>
            </w:r>
            <w:r w:rsidRPr="00447F64">
              <w:rPr>
                <w:rFonts w:ascii="Arial" w:eastAsia="Times New Roman" w:hAnsi="Arial" w:cs="Arial"/>
                <w:sz w:val="24"/>
                <w:szCs w:val="24"/>
                <w:lang w:eastAsia="is-IS"/>
              </w:rPr>
              <w:t>samningsins. Til eru þrjár megintegundir vaxta</w:t>
            </w:r>
            <w:r w:rsidRPr="00447F64">
              <w:rPr>
                <w:rFonts w:ascii="Arial" w:eastAsia="Times New Roman" w:hAnsi="Arial" w:cs="Arial"/>
                <w:sz w:val="24"/>
                <w:szCs w:val="24"/>
                <w:lang w:eastAsia="is-IS"/>
              </w:rPr>
              <w:softHyphen/>
              <w:t>skiptasamninga þ.e.</w:t>
            </w:r>
          </w:p>
          <w:p w:rsidR="008317D6" w:rsidRPr="00447F64" w:rsidRDefault="008317D6" w:rsidP="00E738BF">
            <w:pPr>
              <w:spacing w:before="100" w:beforeAutospacing="1" w:after="100" w:afterAutospacing="1" w:line="240" w:lineRule="auto"/>
              <w:ind w:left="720"/>
              <w:rPr>
                <w:rFonts w:ascii="Arial" w:eastAsia="Times New Roman" w:hAnsi="Arial" w:cs="Arial"/>
                <w:i/>
                <w:iCs/>
                <w:sz w:val="24"/>
                <w:szCs w:val="24"/>
                <w:lang w:eastAsia="is-IS"/>
              </w:rPr>
            </w:pPr>
            <w:r w:rsidRPr="00447F64">
              <w:rPr>
                <w:rFonts w:ascii="Arial" w:eastAsia="Times New Roman" w:hAnsi="Arial" w:cs="Arial"/>
                <w:sz w:val="24"/>
                <w:szCs w:val="24"/>
                <w:lang w:eastAsia="is-IS"/>
              </w:rPr>
              <w:t xml:space="preserve">- samningur sem byggir á mismun á þróun breytilegra vaxta í einum gjaldmiðli, t.d. mismun á þróun ríkisvíxlavaxta og millibankavaxta </w:t>
            </w:r>
            <w:r w:rsidRPr="00447F64">
              <w:rPr>
                <w:rFonts w:ascii="Arial" w:eastAsia="Times New Roman" w:hAnsi="Arial" w:cs="Arial"/>
                <w:i/>
                <w:iCs/>
                <w:sz w:val="24"/>
                <w:szCs w:val="24"/>
                <w:lang w:eastAsia="is-IS"/>
              </w:rPr>
              <w:t xml:space="preserve">(e. basis </w:t>
            </w:r>
            <w:proofErr w:type="spellStart"/>
            <w:r w:rsidRPr="00447F64">
              <w:rPr>
                <w:rFonts w:ascii="Arial" w:eastAsia="Times New Roman" w:hAnsi="Arial" w:cs="Arial"/>
                <w:i/>
                <w:iCs/>
                <w:sz w:val="24"/>
                <w:szCs w:val="24"/>
                <w:lang w:eastAsia="is-IS"/>
              </w:rPr>
              <w:t>interest</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rate</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swap</w:t>
            </w:r>
            <w:proofErr w:type="spellEnd"/>
            <w:r w:rsidRPr="00447F64">
              <w:rPr>
                <w:rFonts w:ascii="Arial" w:eastAsia="Times New Roman" w:hAnsi="Arial" w:cs="Arial"/>
                <w:i/>
                <w:iCs/>
                <w:sz w:val="24"/>
                <w:szCs w:val="24"/>
                <w:lang w:eastAsia="is-IS"/>
              </w:rPr>
              <w:t>)</w:t>
            </w:r>
            <w:r w:rsidRPr="00447F64">
              <w:rPr>
                <w:rFonts w:ascii="Arial" w:eastAsia="Times New Roman" w:hAnsi="Arial" w:cs="Arial"/>
                <w:sz w:val="24"/>
                <w:szCs w:val="24"/>
                <w:lang w:eastAsia="is-IS"/>
              </w:rPr>
              <w:t>.</w:t>
            </w:r>
            <w:r w:rsidRPr="00447F64">
              <w:rPr>
                <w:rFonts w:ascii="Arial" w:eastAsia="Times New Roman" w:hAnsi="Arial" w:cs="Arial"/>
                <w:sz w:val="24"/>
                <w:szCs w:val="24"/>
                <w:lang w:eastAsia="is-IS"/>
              </w:rPr>
              <w:br/>
              <w:t xml:space="preserve">- samningur sem byggir á mismun fastra vaxta og þróun breytilegra vaxta í einum gjaldmiðli, </w:t>
            </w:r>
            <w:r w:rsidRPr="00447F64">
              <w:rPr>
                <w:rFonts w:ascii="Arial" w:eastAsia="Times New Roman" w:hAnsi="Arial" w:cs="Arial"/>
                <w:sz w:val="24"/>
                <w:szCs w:val="24"/>
                <w:lang w:eastAsia="is-IS"/>
              </w:rPr>
              <w:br/>
              <w:t xml:space="preserve">- </w:t>
            </w:r>
            <w:r w:rsidRPr="00447F64">
              <w:rPr>
                <w:rFonts w:ascii="Arial" w:eastAsia="Times New Roman" w:hAnsi="Arial" w:cs="Arial"/>
                <w:i/>
                <w:iCs/>
                <w:sz w:val="24"/>
                <w:szCs w:val="24"/>
                <w:lang w:eastAsia="is-IS"/>
              </w:rPr>
              <w:t>vaxtaskiptasamningur milli gjaldmiðla.</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i/>
                <w:iCs/>
                <w:sz w:val="24"/>
                <w:szCs w:val="24"/>
                <w:lang w:eastAsia="is-IS"/>
              </w:rPr>
              <w:t xml:space="preserve">Vaxtaskiptasamningur milli gjaldmiðla (e. </w:t>
            </w:r>
            <w:proofErr w:type="spellStart"/>
            <w:r w:rsidRPr="00447F64">
              <w:rPr>
                <w:rFonts w:ascii="Arial" w:eastAsia="Times New Roman" w:hAnsi="Arial" w:cs="Arial"/>
                <w:i/>
                <w:iCs/>
                <w:sz w:val="24"/>
                <w:szCs w:val="24"/>
                <w:lang w:eastAsia="is-IS"/>
              </w:rPr>
              <w:t>cross</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currency</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interest</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rate</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swap</w:t>
            </w:r>
            <w:proofErr w:type="spellEnd"/>
            <w:r w:rsidRPr="00447F64">
              <w:rPr>
                <w:rFonts w:ascii="Arial" w:eastAsia="Times New Roman" w:hAnsi="Arial" w:cs="Arial"/>
                <w:i/>
                <w:iCs/>
                <w:sz w:val="24"/>
                <w:szCs w:val="24"/>
                <w:lang w:eastAsia="is-IS"/>
              </w:rPr>
              <w:t xml:space="preserve">): </w:t>
            </w:r>
            <w:r w:rsidRPr="00447F64">
              <w:rPr>
                <w:rFonts w:ascii="Arial" w:eastAsia="Times New Roman" w:hAnsi="Arial" w:cs="Arial"/>
                <w:sz w:val="24"/>
                <w:szCs w:val="24"/>
                <w:lang w:eastAsia="is-IS"/>
              </w:rPr>
              <w:t xml:space="preserve">Vaxtaskiptasamningur sem kveður á um að samningsaðilar skiptist á </w:t>
            </w:r>
            <w:r w:rsidRPr="00447F64">
              <w:rPr>
                <w:rFonts w:ascii="Arial" w:eastAsia="Times New Roman" w:hAnsi="Arial" w:cs="Arial"/>
                <w:sz w:val="24"/>
                <w:szCs w:val="24"/>
                <w:lang w:eastAsia="is-IS"/>
              </w:rPr>
              <w:lastRenderedPageBreak/>
              <w:t xml:space="preserve">vaxtagreiðslum m.t.t. þróunar vaxta sem eru í a.m.k. tveimur mismunandi gjaldmiðlum. Ekki er skipst á </w:t>
            </w:r>
            <w:r w:rsidRPr="00447F64">
              <w:rPr>
                <w:rFonts w:ascii="Arial" w:eastAsia="Times New Roman" w:hAnsi="Arial" w:cs="Arial"/>
                <w:i/>
                <w:iCs/>
                <w:sz w:val="24"/>
                <w:szCs w:val="24"/>
                <w:lang w:eastAsia="is-IS"/>
              </w:rPr>
              <w:t>grundvallarfjárhæðinni</w:t>
            </w:r>
            <w:r w:rsidRPr="00447F64">
              <w:rPr>
                <w:rFonts w:ascii="Arial" w:eastAsia="Times New Roman" w:hAnsi="Arial" w:cs="Arial"/>
                <w:sz w:val="24"/>
                <w:szCs w:val="24"/>
                <w:lang w:eastAsia="is-IS"/>
              </w:rPr>
              <w:t>, heldur aðeins á vaxtamuninum sem reiknaður er af grund</w:t>
            </w:r>
            <w:r w:rsidRPr="00447F64">
              <w:rPr>
                <w:rFonts w:ascii="Arial" w:eastAsia="Times New Roman" w:hAnsi="Arial" w:cs="Arial"/>
                <w:sz w:val="24"/>
                <w:szCs w:val="24"/>
                <w:lang w:eastAsia="is-IS"/>
              </w:rPr>
              <w:softHyphen/>
              <w:t>vallarfjárhæð samningsins.</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i/>
                <w:iCs/>
                <w:sz w:val="24"/>
                <w:szCs w:val="24"/>
                <w:lang w:eastAsia="is-IS"/>
              </w:rPr>
              <w:t xml:space="preserve">Verðbréfa- eða hrávörulánveiting og verðbréfa- eða hrávörulántaka. (e. securities </w:t>
            </w:r>
            <w:proofErr w:type="spellStart"/>
            <w:r w:rsidRPr="00447F64">
              <w:rPr>
                <w:rFonts w:ascii="Arial" w:eastAsia="Times New Roman" w:hAnsi="Arial" w:cs="Arial"/>
                <w:i/>
                <w:iCs/>
                <w:sz w:val="24"/>
                <w:szCs w:val="24"/>
                <w:lang w:eastAsia="is-IS"/>
              </w:rPr>
              <w:t>or</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commodities</w:t>
            </w:r>
            <w:proofErr w:type="spellEnd"/>
            <w:r w:rsidRPr="00447F64">
              <w:rPr>
                <w:rFonts w:ascii="Arial" w:eastAsia="Times New Roman" w:hAnsi="Arial" w:cs="Arial"/>
                <w:i/>
                <w:iCs/>
                <w:sz w:val="24"/>
                <w:szCs w:val="24"/>
                <w:lang w:eastAsia="is-IS"/>
              </w:rPr>
              <w:t xml:space="preserve"> lending/securities </w:t>
            </w:r>
            <w:proofErr w:type="spellStart"/>
            <w:r w:rsidRPr="00447F64">
              <w:rPr>
                <w:rFonts w:ascii="Arial" w:eastAsia="Times New Roman" w:hAnsi="Arial" w:cs="Arial"/>
                <w:i/>
                <w:iCs/>
                <w:sz w:val="24"/>
                <w:szCs w:val="24"/>
                <w:lang w:eastAsia="is-IS"/>
              </w:rPr>
              <w:t>or</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commodities</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borrowing</w:t>
            </w:r>
            <w:proofErr w:type="spellEnd"/>
            <w:r w:rsidRPr="00447F64">
              <w:rPr>
                <w:rFonts w:ascii="Arial" w:eastAsia="Times New Roman" w:hAnsi="Arial" w:cs="Arial"/>
                <w:i/>
                <w:iCs/>
                <w:sz w:val="24"/>
                <w:szCs w:val="24"/>
                <w:lang w:eastAsia="is-IS"/>
              </w:rPr>
              <w:t xml:space="preserve">): </w:t>
            </w:r>
            <w:r w:rsidRPr="00447F64">
              <w:rPr>
                <w:rFonts w:ascii="Arial" w:eastAsia="Times New Roman" w:hAnsi="Arial" w:cs="Arial"/>
                <w:sz w:val="24"/>
                <w:szCs w:val="24"/>
                <w:lang w:eastAsia="is-IS"/>
              </w:rPr>
              <w:t>Öll viðskipti sem felast í því að fyrirtæki eða mótaðili þess framselur verðbréf eða hrávörusamninga gegn hæfilegri tryggingu með því skilyrði að lántakandinn skili aftur jafngildum verðbréfum eða hrávörusamningum síðar eða þegar framseljandi krefst þess. Um er að ræða verðbréfa- eða hrávörulánveitingu fyrir fyrirtækið sem framselur verðbréfin eða hrávörusamningana og verðbréfa- eða hrávörulántöku fyrir fyrirtækið sem verðbréfin eða hrávöru</w:t>
            </w:r>
            <w:r w:rsidRPr="00447F64">
              <w:rPr>
                <w:rFonts w:ascii="Arial" w:eastAsia="Times New Roman" w:hAnsi="Arial" w:cs="Arial"/>
                <w:sz w:val="24"/>
                <w:szCs w:val="24"/>
                <w:lang w:eastAsia="is-IS"/>
              </w:rPr>
              <w:softHyphen/>
              <w:t>samningarnir eru framseld til.</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proofErr w:type="spellStart"/>
            <w:r w:rsidRPr="00447F64">
              <w:rPr>
                <w:rFonts w:ascii="Arial" w:eastAsia="Times New Roman" w:hAnsi="Arial" w:cs="Arial"/>
                <w:i/>
                <w:iCs/>
                <w:sz w:val="24"/>
                <w:szCs w:val="24"/>
                <w:lang w:eastAsia="is-IS"/>
              </w:rPr>
              <w:t>Verðbréfun</w:t>
            </w:r>
            <w:proofErr w:type="spellEnd"/>
            <w:r w:rsidRPr="00447F64">
              <w:rPr>
                <w:rFonts w:ascii="Arial" w:eastAsia="Times New Roman" w:hAnsi="Arial" w:cs="Arial"/>
                <w:i/>
                <w:iCs/>
                <w:sz w:val="24"/>
                <w:szCs w:val="24"/>
                <w:lang w:eastAsia="is-IS"/>
              </w:rPr>
              <w:t xml:space="preserve"> (e. </w:t>
            </w:r>
            <w:proofErr w:type="spellStart"/>
            <w:r w:rsidRPr="00447F64">
              <w:rPr>
                <w:rFonts w:ascii="Arial" w:eastAsia="Times New Roman" w:hAnsi="Arial" w:cs="Arial"/>
                <w:i/>
                <w:iCs/>
                <w:sz w:val="24"/>
                <w:szCs w:val="24"/>
                <w:lang w:eastAsia="is-IS"/>
              </w:rPr>
              <w:t>securitisation</w:t>
            </w:r>
            <w:proofErr w:type="spellEnd"/>
            <w:r w:rsidRPr="00447F64">
              <w:rPr>
                <w:rFonts w:ascii="Arial" w:eastAsia="Times New Roman" w:hAnsi="Arial" w:cs="Arial"/>
                <w:i/>
                <w:iCs/>
                <w:sz w:val="24"/>
                <w:szCs w:val="24"/>
                <w:lang w:eastAsia="is-IS"/>
              </w:rPr>
              <w:t xml:space="preserve">): </w:t>
            </w:r>
            <w:r w:rsidRPr="00447F64">
              <w:rPr>
                <w:rFonts w:ascii="Arial" w:eastAsia="Times New Roman" w:hAnsi="Arial" w:cs="Arial"/>
                <w:sz w:val="24"/>
                <w:szCs w:val="24"/>
                <w:lang w:eastAsia="is-IS"/>
              </w:rPr>
              <w:t xml:space="preserve">Viðskiptasamningur eða kerfisfyrirkomulag þar sem lánaáhætta tengd ákveðinni kröfu eða kröfusafni er lagskipt í hluta </w:t>
            </w:r>
            <w:r w:rsidRPr="00447F64">
              <w:rPr>
                <w:rFonts w:ascii="Arial" w:eastAsia="Times New Roman" w:hAnsi="Arial" w:cs="Arial"/>
                <w:i/>
                <w:iCs/>
                <w:sz w:val="24"/>
                <w:szCs w:val="24"/>
                <w:lang w:eastAsia="is-IS"/>
              </w:rPr>
              <w:t xml:space="preserve">(e. </w:t>
            </w:r>
            <w:proofErr w:type="spellStart"/>
            <w:r w:rsidRPr="00447F64">
              <w:rPr>
                <w:rFonts w:ascii="Arial" w:eastAsia="Times New Roman" w:hAnsi="Arial" w:cs="Arial"/>
                <w:i/>
                <w:iCs/>
                <w:sz w:val="24"/>
                <w:szCs w:val="24"/>
                <w:lang w:eastAsia="is-IS"/>
              </w:rPr>
              <w:t>tranches</w:t>
            </w:r>
            <w:proofErr w:type="spellEnd"/>
            <w:r w:rsidRPr="00447F64">
              <w:rPr>
                <w:rFonts w:ascii="Arial" w:eastAsia="Times New Roman" w:hAnsi="Arial" w:cs="Arial"/>
                <w:i/>
                <w:iCs/>
                <w:sz w:val="24"/>
                <w:szCs w:val="24"/>
                <w:lang w:eastAsia="is-IS"/>
              </w:rPr>
              <w:t>)</w:t>
            </w:r>
            <w:r w:rsidRPr="00447F64">
              <w:rPr>
                <w:rFonts w:ascii="Arial" w:eastAsia="Times New Roman" w:hAnsi="Arial" w:cs="Arial"/>
                <w:sz w:val="24"/>
                <w:szCs w:val="24"/>
                <w:lang w:eastAsia="is-IS"/>
              </w:rPr>
              <w:t xml:space="preserve"> með eftirfarandi hætti:</w:t>
            </w:r>
          </w:p>
          <w:p w:rsidR="008317D6" w:rsidRPr="00447F64" w:rsidRDefault="008317D6" w:rsidP="00447F64">
            <w:pPr>
              <w:numPr>
                <w:ilvl w:val="0"/>
                <w:numId w:val="3"/>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greiðslur samkvæmt viðskiptasamningnum eða kerfisfyrirkomulagsins eru háðar afkomunni af kröfunni eða kröfusafninu, og </w:t>
            </w:r>
          </w:p>
          <w:p w:rsidR="008317D6" w:rsidRPr="00447F64" w:rsidRDefault="008317D6" w:rsidP="00447F64">
            <w:pPr>
              <w:numPr>
                <w:ilvl w:val="0"/>
                <w:numId w:val="3"/>
              </w:numPr>
              <w:spacing w:before="100" w:beforeAutospacing="1" w:after="100" w:afterAutospacing="1" w:line="240" w:lineRule="auto"/>
              <w:jc w:val="both"/>
              <w:rPr>
                <w:rFonts w:ascii="Arial" w:eastAsia="Times New Roman" w:hAnsi="Arial" w:cs="Arial"/>
                <w:i/>
                <w:iCs/>
                <w:sz w:val="24"/>
                <w:szCs w:val="24"/>
                <w:lang w:eastAsia="is-IS"/>
              </w:rPr>
            </w:pPr>
            <w:r w:rsidRPr="00447F64">
              <w:rPr>
                <w:rFonts w:ascii="Arial" w:eastAsia="Times New Roman" w:hAnsi="Arial" w:cs="Arial"/>
                <w:sz w:val="24"/>
                <w:szCs w:val="24"/>
                <w:lang w:eastAsia="is-IS"/>
              </w:rPr>
              <w:t xml:space="preserve">forgangsröðun laganna </w:t>
            </w:r>
            <w:r w:rsidRPr="00447F64">
              <w:rPr>
                <w:rFonts w:ascii="Arial" w:eastAsia="Times New Roman" w:hAnsi="Arial" w:cs="Arial"/>
                <w:i/>
                <w:iCs/>
                <w:sz w:val="24"/>
                <w:szCs w:val="24"/>
                <w:lang w:eastAsia="is-IS"/>
              </w:rPr>
              <w:t xml:space="preserve">(e. </w:t>
            </w:r>
            <w:proofErr w:type="spellStart"/>
            <w:r w:rsidRPr="00447F64">
              <w:rPr>
                <w:rFonts w:ascii="Arial" w:eastAsia="Times New Roman" w:hAnsi="Arial" w:cs="Arial"/>
                <w:i/>
                <w:iCs/>
                <w:sz w:val="24"/>
                <w:szCs w:val="24"/>
                <w:lang w:eastAsia="is-IS"/>
              </w:rPr>
              <w:t>tranches</w:t>
            </w:r>
            <w:proofErr w:type="spellEnd"/>
            <w:r w:rsidRPr="00447F64">
              <w:rPr>
                <w:rFonts w:ascii="Arial" w:eastAsia="Times New Roman" w:hAnsi="Arial" w:cs="Arial"/>
                <w:i/>
                <w:iCs/>
                <w:sz w:val="24"/>
                <w:szCs w:val="24"/>
                <w:lang w:eastAsia="is-IS"/>
              </w:rPr>
              <w:t>)</w:t>
            </w:r>
            <w:r w:rsidRPr="00447F64">
              <w:rPr>
                <w:rFonts w:ascii="Arial" w:eastAsia="Times New Roman" w:hAnsi="Arial" w:cs="Arial"/>
                <w:sz w:val="24"/>
                <w:szCs w:val="24"/>
                <w:lang w:eastAsia="is-IS"/>
              </w:rPr>
              <w:t xml:space="preserve"> ákvarðar dreifingu taps á líftíma við</w:t>
            </w:r>
            <w:r w:rsidRPr="00447F64">
              <w:rPr>
                <w:rFonts w:ascii="Arial" w:eastAsia="Times New Roman" w:hAnsi="Arial" w:cs="Arial"/>
                <w:sz w:val="24"/>
                <w:szCs w:val="24"/>
                <w:lang w:eastAsia="is-IS"/>
              </w:rPr>
              <w:softHyphen/>
              <w:t>skipta</w:t>
            </w:r>
            <w:r w:rsidRPr="00447F64">
              <w:rPr>
                <w:rFonts w:ascii="Arial" w:eastAsia="Times New Roman" w:hAnsi="Arial" w:cs="Arial"/>
                <w:sz w:val="24"/>
                <w:szCs w:val="24"/>
                <w:lang w:eastAsia="is-IS"/>
              </w:rPr>
              <w:softHyphen/>
              <w:t xml:space="preserve">samningsins eða kerfisfyrirkomulagsins </w:t>
            </w:r>
            <w:r w:rsidRPr="00447F64">
              <w:rPr>
                <w:rFonts w:ascii="Arial" w:eastAsia="Times New Roman" w:hAnsi="Arial" w:cs="Arial"/>
                <w:i/>
                <w:iCs/>
                <w:sz w:val="24"/>
                <w:szCs w:val="24"/>
                <w:lang w:eastAsia="is-IS"/>
              </w:rPr>
              <w:t xml:space="preserve">(e. </w:t>
            </w:r>
            <w:proofErr w:type="spellStart"/>
            <w:r w:rsidRPr="00447F64">
              <w:rPr>
                <w:rFonts w:ascii="Arial" w:eastAsia="Times New Roman" w:hAnsi="Arial" w:cs="Arial"/>
                <w:i/>
                <w:iCs/>
                <w:sz w:val="24"/>
                <w:szCs w:val="24"/>
                <w:lang w:eastAsia="is-IS"/>
              </w:rPr>
              <w:t>the</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subordination</w:t>
            </w:r>
            <w:proofErr w:type="spellEnd"/>
            <w:r w:rsidRPr="00447F64">
              <w:rPr>
                <w:rFonts w:ascii="Arial" w:eastAsia="Times New Roman" w:hAnsi="Arial" w:cs="Arial"/>
                <w:i/>
                <w:iCs/>
                <w:sz w:val="24"/>
                <w:szCs w:val="24"/>
                <w:lang w:eastAsia="is-IS"/>
              </w:rPr>
              <w:t xml:space="preserve"> of </w:t>
            </w:r>
            <w:proofErr w:type="spellStart"/>
            <w:r w:rsidRPr="00447F64">
              <w:rPr>
                <w:rFonts w:ascii="Arial" w:eastAsia="Times New Roman" w:hAnsi="Arial" w:cs="Arial"/>
                <w:i/>
                <w:iCs/>
                <w:sz w:val="24"/>
                <w:szCs w:val="24"/>
                <w:lang w:eastAsia="is-IS"/>
              </w:rPr>
              <w:t>tranches</w:t>
            </w:r>
            <w:proofErr w:type="spellEnd"/>
            <w:r w:rsidRPr="00447F64">
              <w:rPr>
                <w:rFonts w:ascii="Arial" w:eastAsia="Times New Roman" w:hAnsi="Arial" w:cs="Arial"/>
                <w:i/>
                <w:iCs/>
                <w:sz w:val="24"/>
                <w:szCs w:val="24"/>
                <w:lang w:eastAsia="is-IS"/>
              </w:rPr>
              <w:t>).</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i/>
                <w:iCs/>
                <w:sz w:val="24"/>
                <w:szCs w:val="24"/>
                <w:lang w:eastAsia="is-IS"/>
              </w:rPr>
              <w:t xml:space="preserve">Viðskiptahúsnæði (e. </w:t>
            </w:r>
            <w:proofErr w:type="spellStart"/>
            <w:r w:rsidRPr="00447F64">
              <w:rPr>
                <w:rFonts w:ascii="Arial" w:eastAsia="Times New Roman" w:hAnsi="Arial" w:cs="Arial"/>
                <w:i/>
                <w:iCs/>
                <w:sz w:val="24"/>
                <w:szCs w:val="24"/>
                <w:lang w:eastAsia="is-IS"/>
              </w:rPr>
              <w:t>commercial</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real</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estate</w:t>
            </w:r>
            <w:proofErr w:type="spellEnd"/>
            <w:r w:rsidRPr="00447F64">
              <w:rPr>
                <w:rFonts w:ascii="Arial" w:eastAsia="Times New Roman" w:hAnsi="Arial" w:cs="Arial"/>
                <w:i/>
                <w:iCs/>
                <w:sz w:val="24"/>
                <w:szCs w:val="24"/>
                <w:lang w:eastAsia="is-IS"/>
              </w:rPr>
              <w:t>):</w:t>
            </w:r>
            <w:r w:rsidRPr="00447F64">
              <w:rPr>
                <w:rFonts w:ascii="Arial" w:eastAsia="Times New Roman" w:hAnsi="Arial" w:cs="Arial"/>
                <w:sz w:val="24"/>
                <w:szCs w:val="24"/>
                <w:lang w:eastAsia="is-IS"/>
              </w:rPr>
              <w:t xml:space="preserve"> Með viðskiptahúsnæði er átt við verslunar- og skrifstofuhúsnæði og annað þjónustuhúsnæði sem auðvelt er að breyta notkun á. </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i/>
                <w:iCs/>
                <w:sz w:val="24"/>
                <w:szCs w:val="24"/>
                <w:lang w:eastAsia="is-IS"/>
              </w:rPr>
              <w:t xml:space="preserve">Vænt tap (e. </w:t>
            </w:r>
            <w:proofErr w:type="spellStart"/>
            <w:r w:rsidRPr="00447F64">
              <w:rPr>
                <w:rFonts w:ascii="Arial" w:eastAsia="Times New Roman" w:hAnsi="Arial" w:cs="Arial"/>
                <w:i/>
                <w:iCs/>
                <w:sz w:val="24"/>
                <w:szCs w:val="24"/>
                <w:lang w:eastAsia="is-IS"/>
              </w:rPr>
              <w:t>expected</w:t>
            </w:r>
            <w:proofErr w:type="spellEnd"/>
            <w:r w:rsidRPr="00447F64">
              <w:rPr>
                <w:rFonts w:ascii="Arial" w:eastAsia="Times New Roman" w:hAnsi="Arial" w:cs="Arial"/>
                <w:i/>
                <w:iCs/>
                <w:sz w:val="24"/>
                <w:szCs w:val="24"/>
                <w:lang w:eastAsia="is-IS"/>
              </w:rPr>
              <w:t xml:space="preserve"> loss, EL) við mat á útlánaáhættu: </w:t>
            </w:r>
            <w:r w:rsidRPr="00447F64">
              <w:rPr>
                <w:rFonts w:ascii="Arial" w:eastAsia="Times New Roman" w:hAnsi="Arial" w:cs="Arial"/>
                <w:sz w:val="24"/>
                <w:szCs w:val="24"/>
                <w:lang w:eastAsia="is-IS"/>
              </w:rPr>
              <w:t>Hlutfall þeirrar fjárhæðar sem vænta má að tapist yfir eins árs tímabil vegna hugsanlegra vanefnda mótaðila af útistandandi heildarfjárhæð þegar vanefndir verða.</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i/>
                <w:iCs/>
                <w:sz w:val="24"/>
                <w:szCs w:val="24"/>
                <w:lang w:eastAsia="is-IS"/>
              </w:rPr>
              <w:t xml:space="preserve">Þynningaráhætta (e. </w:t>
            </w:r>
            <w:proofErr w:type="spellStart"/>
            <w:r w:rsidRPr="00447F64">
              <w:rPr>
                <w:rFonts w:ascii="Arial" w:eastAsia="Times New Roman" w:hAnsi="Arial" w:cs="Arial"/>
                <w:i/>
                <w:iCs/>
                <w:sz w:val="24"/>
                <w:szCs w:val="24"/>
                <w:lang w:eastAsia="is-IS"/>
              </w:rPr>
              <w:t>dilution</w:t>
            </w:r>
            <w:proofErr w:type="spellEnd"/>
            <w:r w:rsidRPr="00447F64">
              <w:rPr>
                <w:rFonts w:ascii="Arial" w:eastAsia="Times New Roman" w:hAnsi="Arial" w:cs="Arial"/>
                <w:i/>
                <w:iCs/>
                <w:sz w:val="24"/>
                <w:szCs w:val="24"/>
                <w:lang w:eastAsia="is-IS"/>
              </w:rPr>
              <w:t xml:space="preserve"> risk):</w:t>
            </w:r>
            <w:r w:rsidRPr="00447F64">
              <w:rPr>
                <w:rFonts w:ascii="Arial" w:eastAsia="Times New Roman" w:hAnsi="Arial" w:cs="Arial"/>
                <w:sz w:val="24"/>
                <w:szCs w:val="24"/>
                <w:lang w:eastAsia="is-IS"/>
              </w:rPr>
              <w:t xml:space="preserve"> Hætta á að áhættukrafa rýrni vegna annarra áhættukrafna á hendur lántakanda </w:t>
            </w:r>
            <w:r w:rsidRPr="00447F64">
              <w:rPr>
                <w:rFonts w:ascii="Arial" w:eastAsia="Times New Roman" w:hAnsi="Arial" w:cs="Arial"/>
                <w:i/>
                <w:iCs/>
                <w:sz w:val="24"/>
                <w:szCs w:val="24"/>
                <w:lang w:eastAsia="is-IS"/>
              </w:rPr>
              <w:t>(e.</w:t>
            </w:r>
            <w:r w:rsidRPr="00447F64">
              <w:rPr>
                <w:rFonts w:ascii="Arial" w:eastAsia="Times New Roman" w:hAnsi="Arial" w:cs="Arial"/>
                <w:sz w:val="24"/>
                <w:szCs w:val="24"/>
                <w:lang w:eastAsia="is-IS"/>
              </w:rPr>
              <w:t xml:space="preserve"> </w:t>
            </w:r>
            <w:proofErr w:type="spellStart"/>
            <w:r w:rsidRPr="00447F64">
              <w:rPr>
                <w:rFonts w:ascii="Arial" w:eastAsia="Times New Roman" w:hAnsi="Arial" w:cs="Arial"/>
                <w:i/>
                <w:iCs/>
                <w:sz w:val="24"/>
                <w:szCs w:val="24"/>
                <w:lang w:eastAsia="is-IS"/>
              </w:rPr>
              <w:t>means</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the</w:t>
            </w:r>
            <w:proofErr w:type="spellEnd"/>
            <w:r w:rsidRPr="00447F64">
              <w:rPr>
                <w:rFonts w:ascii="Arial" w:eastAsia="Times New Roman" w:hAnsi="Arial" w:cs="Arial"/>
                <w:i/>
                <w:iCs/>
                <w:sz w:val="24"/>
                <w:szCs w:val="24"/>
                <w:lang w:eastAsia="is-IS"/>
              </w:rPr>
              <w:t xml:space="preserve"> risk </w:t>
            </w:r>
            <w:proofErr w:type="spellStart"/>
            <w:r w:rsidRPr="00447F64">
              <w:rPr>
                <w:rFonts w:ascii="Arial" w:eastAsia="Times New Roman" w:hAnsi="Arial" w:cs="Arial"/>
                <w:i/>
                <w:iCs/>
                <w:sz w:val="24"/>
                <w:szCs w:val="24"/>
                <w:lang w:eastAsia="is-IS"/>
              </w:rPr>
              <w:t>that</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an</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amount</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receivable</w:t>
            </w:r>
            <w:proofErr w:type="spellEnd"/>
            <w:r w:rsidRPr="00447F64">
              <w:rPr>
                <w:rFonts w:ascii="Arial" w:eastAsia="Times New Roman" w:hAnsi="Arial" w:cs="Arial"/>
                <w:i/>
                <w:iCs/>
                <w:sz w:val="24"/>
                <w:szCs w:val="24"/>
                <w:lang w:eastAsia="is-IS"/>
              </w:rPr>
              <w:t xml:space="preserve"> is </w:t>
            </w:r>
            <w:proofErr w:type="spellStart"/>
            <w:r w:rsidRPr="00447F64">
              <w:rPr>
                <w:rFonts w:ascii="Arial" w:eastAsia="Times New Roman" w:hAnsi="Arial" w:cs="Arial"/>
                <w:i/>
                <w:iCs/>
                <w:sz w:val="24"/>
                <w:szCs w:val="24"/>
                <w:lang w:eastAsia="is-IS"/>
              </w:rPr>
              <w:t>reduced</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through</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cash</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or</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non</w:t>
            </w:r>
            <w:proofErr w:type="spellEnd"/>
            <w:r w:rsidRPr="00447F64">
              <w:rPr>
                <w:rFonts w:ascii="Arial" w:eastAsia="Times New Roman" w:hAnsi="Arial" w:cs="Arial"/>
                <w:i/>
                <w:iCs/>
                <w:sz w:val="24"/>
                <w:szCs w:val="24"/>
                <w:lang w:eastAsia="is-IS"/>
              </w:rPr>
              <w:t>-</w:t>
            </w:r>
            <w:proofErr w:type="spellStart"/>
            <w:r w:rsidRPr="00447F64">
              <w:rPr>
                <w:rFonts w:ascii="Arial" w:eastAsia="Times New Roman" w:hAnsi="Arial" w:cs="Arial"/>
                <w:i/>
                <w:iCs/>
                <w:sz w:val="24"/>
                <w:szCs w:val="24"/>
                <w:lang w:eastAsia="is-IS"/>
              </w:rPr>
              <w:t>cash</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credits</w:t>
            </w:r>
            <w:proofErr w:type="spellEnd"/>
            <w:r w:rsidRPr="00447F64">
              <w:rPr>
                <w:rFonts w:ascii="Arial" w:eastAsia="Times New Roman" w:hAnsi="Arial" w:cs="Arial"/>
                <w:i/>
                <w:iCs/>
                <w:sz w:val="24"/>
                <w:szCs w:val="24"/>
                <w:lang w:eastAsia="is-IS"/>
              </w:rPr>
              <w:t xml:space="preserve"> to </w:t>
            </w:r>
            <w:proofErr w:type="spellStart"/>
            <w:r w:rsidRPr="00447F64">
              <w:rPr>
                <w:rFonts w:ascii="Arial" w:eastAsia="Times New Roman" w:hAnsi="Arial" w:cs="Arial"/>
                <w:i/>
                <w:iCs/>
                <w:sz w:val="24"/>
                <w:szCs w:val="24"/>
                <w:lang w:eastAsia="is-IS"/>
              </w:rPr>
              <w:t>the</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obligor</w:t>
            </w:r>
            <w:proofErr w:type="spellEnd"/>
            <w:r w:rsidRPr="00447F64">
              <w:rPr>
                <w:rFonts w:ascii="Arial" w:eastAsia="Times New Roman" w:hAnsi="Arial" w:cs="Arial"/>
                <w:i/>
                <w:iCs/>
                <w:sz w:val="24"/>
                <w:szCs w:val="24"/>
                <w:lang w:eastAsia="is-IS"/>
              </w:rPr>
              <w:t>)</w:t>
            </w:r>
            <w:r w:rsidRPr="00447F64">
              <w:rPr>
                <w:rFonts w:ascii="Arial" w:eastAsia="Times New Roman" w:hAnsi="Arial" w:cs="Arial"/>
                <w:sz w:val="24"/>
                <w:szCs w:val="24"/>
                <w:lang w:eastAsia="is-IS"/>
              </w:rPr>
              <w:t>. Þynningaráhætta telst hluti af útlánaáhættu.</w:t>
            </w:r>
          </w:p>
          <w:p w:rsidR="008317D6" w:rsidRPr="00447F64" w:rsidRDefault="008317D6" w:rsidP="00E738BF">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II. KAFLI</w:t>
            </w:r>
          </w:p>
          <w:p w:rsidR="008317D6" w:rsidRPr="00447F64" w:rsidRDefault="008317D6" w:rsidP="00E738BF">
            <w:pPr>
              <w:spacing w:before="100" w:beforeAutospacing="1" w:after="100" w:afterAutospacing="1" w:line="240" w:lineRule="auto"/>
              <w:jc w:val="center"/>
              <w:rPr>
                <w:rFonts w:ascii="Arial" w:eastAsia="Times New Roman" w:hAnsi="Arial" w:cs="Arial"/>
                <w:b/>
                <w:bCs/>
                <w:sz w:val="24"/>
                <w:szCs w:val="24"/>
                <w:lang w:eastAsia="is-IS"/>
              </w:rPr>
            </w:pPr>
            <w:r w:rsidRPr="00447F64">
              <w:rPr>
                <w:rFonts w:ascii="Arial" w:eastAsia="Times New Roman" w:hAnsi="Arial" w:cs="Arial"/>
                <w:b/>
                <w:bCs/>
                <w:sz w:val="24"/>
                <w:szCs w:val="24"/>
                <w:lang w:eastAsia="is-IS"/>
              </w:rPr>
              <w:t>Skýrsluskil.</w:t>
            </w:r>
          </w:p>
          <w:p w:rsidR="008317D6" w:rsidRPr="00447F64" w:rsidRDefault="008317D6" w:rsidP="00E738BF">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3. gr.</w:t>
            </w:r>
          </w:p>
          <w:p w:rsidR="008317D6" w:rsidRPr="00447F64" w:rsidRDefault="00C23FF4"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w:t>
            </w:r>
            <w:r w:rsidR="008317D6" w:rsidRPr="00447F64">
              <w:rPr>
                <w:rFonts w:ascii="Arial" w:eastAsia="Times New Roman" w:hAnsi="Arial" w:cs="Arial"/>
                <w:sz w:val="24"/>
                <w:szCs w:val="24"/>
                <w:lang w:eastAsia="is-IS"/>
              </w:rPr>
              <w:t>Fjármálafyrirtæki skulu ársfjórðungslega senda eiginfjárskýrslu til Fjármálaeftirlitsins. Fjármálafyrirtæki, sem ekki reikna áhættugrunn vegna veltubókarliða, sbr. ákvæði 6. gr., skulu þó hálfsárslega senda skýrslu til Fjármálaeftirlitsins. Ákvæði um skýrslugerð fjármála</w:t>
            </w:r>
            <w:r w:rsidR="008317D6" w:rsidRPr="00447F64">
              <w:rPr>
                <w:rFonts w:ascii="Arial" w:eastAsia="Times New Roman" w:hAnsi="Arial" w:cs="Arial"/>
                <w:sz w:val="24"/>
                <w:szCs w:val="24"/>
                <w:lang w:eastAsia="is-IS"/>
              </w:rPr>
              <w:softHyphen/>
              <w:t>fyrirtækis sjaldnar en ársfjórðungslega á ekki við ef eiginfjárhlutfall fjármála</w:t>
            </w:r>
            <w:r w:rsidR="008317D6" w:rsidRPr="00447F64">
              <w:rPr>
                <w:rFonts w:ascii="Arial" w:eastAsia="Times New Roman" w:hAnsi="Arial" w:cs="Arial"/>
                <w:sz w:val="24"/>
                <w:szCs w:val="24"/>
                <w:lang w:eastAsia="is-IS"/>
              </w:rPr>
              <w:softHyphen/>
              <w:t>fyrirtækis er lægra en 12% í upphafi árs. Við sérstakar aðstæður getur Fjármálaeftirlitið heimilað að skil á eiginfjárskýrslum séu einungis árlega, miðað við lok hvers árs.</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lastRenderedPageBreak/>
              <w:t>Skýrslur fjármálafyrirtækja skv. 1. mgr. skulu hafa borist Fjármálaeftirlitinu eigi síðar en 30 dögum frá uppgjörsdegi.</w:t>
            </w:r>
            <w:r w:rsidR="00C23FF4" w:rsidRPr="00447F64">
              <w:rPr>
                <w:rFonts w:ascii="Arial" w:eastAsia="Times New Roman" w:hAnsi="Arial" w:cs="Arial"/>
                <w:sz w:val="24"/>
                <w:szCs w:val="24"/>
                <w:lang w:eastAsia="is-IS"/>
              </w:rPr>
              <w:t>]</w:t>
            </w:r>
            <w:r w:rsidR="00C23FF4" w:rsidRPr="00447F64">
              <w:rPr>
                <w:rStyle w:val="FootnoteReference"/>
                <w:rFonts w:ascii="Arial" w:eastAsia="Times New Roman" w:hAnsi="Arial" w:cs="Arial"/>
                <w:sz w:val="24"/>
                <w:szCs w:val="24"/>
                <w:lang w:eastAsia="is-IS"/>
              </w:rPr>
              <w:footnoteReference w:id="6"/>
            </w:r>
          </w:p>
          <w:p w:rsidR="008317D6" w:rsidRPr="00447F64" w:rsidRDefault="008317D6" w:rsidP="00E738BF">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III. KAFLI</w:t>
            </w:r>
          </w:p>
          <w:p w:rsidR="008317D6" w:rsidRPr="00447F64" w:rsidRDefault="008317D6" w:rsidP="00E738BF">
            <w:pPr>
              <w:spacing w:before="100" w:beforeAutospacing="1" w:after="100" w:afterAutospacing="1" w:line="240" w:lineRule="auto"/>
              <w:jc w:val="center"/>
              <w:rPr>
                <w:rFonts w:ascii="Arial" w:eastAsia="Times New Roman" w:hAnsi="Arial" w:cs="Arial"/>
                <w:b/>
                <w:bCs/>
                <w:sz w:val="24"/>
                <w:szCs w:val="24"/>
                <w:lang w:eastAsia="is-IS"/>
              </w:rPr>
            </w:pPr>
            <w:r w:rsidRPr="00447F64">
              <w:rPr>
                <w:rFonts w:ascii="Arial" w:eastAsia="Times New Roman" w:hAnsi="Arial" w:cs="Arial"/>
                <w:b/>
                <w:bCs/>
                <w:sz w:val="24"/>
                <w:szCs w:val="24"/>
                <w:lang w:eastAsia="is-IS"/>
              </w:rPr>
              <w:t>Eiginfjárkrafa.</w:t>
            </w:r>
          </w:p>
          <w:p w:rsidR="008317D6" w:rsidRPr="00447F64" w:rsidRDefault="008317D6" w:rsidP="00E738BF">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4. gr.</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Eiginfjárgrunnur fjármálafyrirtækis skal ávallt að lágmarki vera samtala eftirtalinna liða: </w:t>
            </w:r>
          </w:p>
          <w:p w:rsidR="008317D6" w:rsidRPr="00447F64" w:rsidRDefault="008317D6" w:rsidP="00447F64">
            <w:pPr>
              <w:numPr>
                <w:ilvl w:val="0"/>
                <w:numId w:val="4"/>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Vegna útlána- og þynningaráhættu fyrir alla starfsemi fjármálafyrirtækisins, að undanskildum veltubókarliðum og torseljanlegum eignum ef þær eru dregnar frá eiginfjárgrunni, skal vera 8% af áhættuvegnum áhættuskuldbindingafjárhæðum reiknuðum samkvæmt aðferðum í V. kafla (Staðalaðferð) og VI. kafla (Innramatsaðferð). </w:t>
            </w:r>
          </w:p>
          <w:p w:rsidR="008317D6" w:rsidRPr="00447F64" w:rsidRDefault="008317D6" w:rsidP="00447F64">
            <w:pPr>
              <w:numPr>
                <w:ilvl w:val="0"/>
                <w:numId w:val="4"/>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Vegna liða í veltubók, vegna stöðuáhættu, uppgjörsáhættu og mótaðilaáhættu skal fjárhæðin metin í samræmi við ákvæði IV. kafla og vegna umframáhættu stórra áhættuskuldbindinga í samræmi við ákvæði X. kafla. </w:t>
            </w:r>
          </w:p>
          <w:p w:rsidR="008317D6" w:rsidRPr="00447F64" w:rsidRDefault="008317D6" w:rsidP="00447F64">
            <w:pPr>
              <w:numPr>
                <w:ilvl w:val="0"/>
                <w:numId w:val="4"/>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Vegna gjaldeyrisáhættu liða í erlendum gjaldmiðli og vegna hrávöru og liða sem eru tengdir erlendum gjaldmiðli og hrávöru, óháð því hvort um er að ræða liði innan eða utan veltubókar, skal eiginfjárkrafan metin í samræmi við viðauka III og IV skv. 55. gr. B. </w:t>
            </w:r>
          </w:p>
          <w:p w:rsidR="008317D6" w:rsidRPr="00447F64" w:rsidRDefault="008317D6" w:rsidP="00447F64">
            <w:pPr>
              <w:numPr>
                <w:ilvl w:val="0"/>
                <w:numId w:val="4"/>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Vegna rekstraráhættu skal eiginfjárkrafan metin í samræmi við ákvæði IX. kafla.</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Viðbótareiginfjárkröfu samkvæmt sérstakri ákvörðun Fjármálaeftirlitsins, sbr. 1. mgr. 84. gr. laga um fjármálafyrirtæki skal meta sérstaklega.</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Fjármálafyrirtæki skulu nota staðalaðferð eða innramatsaðferð, en sækja þarf um sérstakt leyfi Fjármálaeftirlitsins til að nota innramatsaðferð við mat á eiginfjárkröfu sbr. 1. mgr. 1. </w:t>
            </w:r>
            <w:proofErr w:type="spellStart"/>
            <w:r w:rsidRPr="00447F64">
              <w:rPr>
                <w:rFonts w:ascii="Arial" w:eastAsia="Times New Roman" w:hAnsi="Arial" w:cs="Arial"/>
                <w:sz w:val="24"/>
                <w:szCs w:val="24"/>
                <w:lang w:eastAsia="is-IS"/>
              </w:rPr>
              <w:t>tl</w:t>
            </w:r>
            <w:proofErr w:type="spellEnd"/>
            <w:r w:rsidRPr="00447F64">
              <w:rPr>
                <w:rFonts w:ascii="Arial" w:eastAsia="Times New Roman" w:hAnsi="Arial" w:cs="Arial"/>
                <w:sz w:val="24"/>
                <w:szCs w:val="24"/>
                <w:lang w:eastAsia="is-IS"/>
              </w:rPr>
              <w:t>.</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Fjármálafyrirtækjum er heimilt að fengnu sérstöku samþykki Fjármálaeftirlitsins að miða útreikning sinn á gjaldeyrisstöðu við núvirði eigna- og skuldaliða og liða utan efnahags</w:t>
            </w:r>
            <w:r w:rsidRPr="00447F64">
              <w:rPr>
                <w:rFonts w:ascii="Arial" w:eastAsia="Times New Roman" w:hAnsi="Arial" w:cs="Arial"/>
                <w:sz w:val="24"/>
                <w:szCs w:val="24"/>
                <w:lang w:eastAsia="is-IS"/>
              </w:rPr>
              <w:softHyphen/>
              <w:t>reiknings. Með núvirði í þessu samhengi er átt við heildarvirði allra út- og inn</w:t>
            </w:r>
            <w:r w:rsidRPr="00447F64">
              <w:rPr>
                <w:rFonts w:ascii="Arial" w:eastAsia="Times New Roman" w:hAnsi="Arial" w:cs="Arial"/>
                <w:sz w:val="24"/>
                <w:szCs w:val="24"/>
                <w:lang w:eastAsia="is-IS"/>
              </w:rPr>
              <w:softHyphen/>
              <w:t>greiðslna í framtíðinni sem núvirtar hafa verið með hliðsjón af gildandi markaðs</w:t>
            </w:r>
            <w:r w:rsidRPr="00447F64">
              <w:rPr>
                <w:rFonts w:ascii="Arial" w:eastAsia="Times New Roman" w:hAnsi="Arial" w:cs="Arial"/>
                <w:sz w:val="24"/>
                <w:szCs w:val="24"/>
                <w:lang w:eastAsia="is-IS"/>
              </w:rPr>
              <w:softHyphen/>
              <w:t>vöxtum.</w:t>
            </w:r>
          </w:p>
          <w:p w:rsidR="008317D6" w:rsidRPr="00447F64" w:rsidRDefault="008317D6" w:rsidP="00E738BF">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IV. KAFLI</w:t>
            </w:r>
          </w:p>
          <w:p w:rsidR="008317D6" w:rsidRPr="00447F64" w:rsidRDefault="008317D6" w:rsidP="00E738BF">
            <w:pPr>
              <w:spacing w:before="100" w:beforeAutospacing="1" w:after="100" w:afterAutospacing="1" w:line="240" w:lineRule="auto"/>
              <w:jc w:val="center"/>
              <w:rPr>
                <w:rFonts w:ascii="Arial" w:eastAsia="Times New Roman" w:hAnsi="Arial" w:cs="Arial"/>
                <w:b/>
                <w:bCs/>
                <w:sz w:val="24"/>
                <w:szCs w:val="24"/>
                <w:lang w:eastAsia="is-IS"/>
              </w:rPr>
            </w:pPr>
            <w:r w:rsidRPr="00447F64">
              <w:rPr>
                <w:rFonts w:ascii="Arial" w:eastAsia="Times New Roman" w:hAnsi="Arial" w:cs="Arial"/>
                <w:b/>
                <w:bCs/>
                <w:sz w:val="24"/>
                <w:szCs w:val="24"/>
                <w:lang w:eastAsia="is-IS"/>
              </w:rPr>
              <w:t>Veltubókarliðir.</w:t>
            </w:r>
          </w:p>
          <w:p w:rsidR="008317D6" w:rsidRPr="00447F64" w:rsidRDefault="008317D6" w:rsidP="00E738BF">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5. gr.</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Til veltubókar fjármálafyrirtækis skal telja allar stöður í fjármálagerningum og </w:t>
            </w:r>
            <w:r w:rsidRPr="00447F64">
              <w:rPr>
                <w:rFonts w:ascii="Arial" w:eastAsia="Times New Roman" w:hAnsi="Arial" w:cs="Arial"/>
                <w:sz w:val="24"/>
                <w:szCs w:val="24"/>
                <w:lang w:eastAsia="is-IS"/>
              </w:rPr>
              <w:lastRenderedPageBreak/>
              <w:t>hrávörum sem það hefur eignast eða heldur eftir með endursölu í huga eða til að baktryggja/verja aðra liði í veltubók sem ekki hafa kvaðaákvæði varðandi seljanleika og hægt er að baktryggja/verja.</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Veltubókarliðir eru stöður fyrirtækis í fjármálagerningum og hrávörum sem haldið er í því skyni að hagnast á skammtímabreytingum á markaðsvirði þeirra eða öðrum verð- eða vaxtabreytingum þ.m.t. stöður vegna eigin viðskipta, þjónustu við viðskiptavini og viðskiptavaktar. </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Söluásetning skal byggja á áætlunum, stefnu og verklagsreglum sem fyrirtækið setur til að halda utan um stöðuna eða eignasafnið í samræmi við A hluta viðauka VII skv. 55. gr. B.</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Fyrirtæki skal koma á fót og viðhalda kerfum og stjórntækjum til að halda utan um veltubókina í samræmi við B og D hluta í ofangreindum viðauka VII. Allar stöður í veltubók skulu metnar með tilliti til varfærnisreglna sem tilgreindar eru í B hluta ofangreinds viðauka VII. Samkvæmt reglunum ber fjármálafyrirtækjum að tryggja að það mat sem þau leggja á allar stöður í veltubók endurspegli markaðsvirðið á viðeigandi hátt. Matið skal byggt á viðeigandi vissu með tilliti til breytileika veltubókarstaðna, kröfum um varfærni og traust auk starfsaðferða og eiginfjárkröfu vegna veltubókarliða. Endurmeta ber stöður í veltubók daglega. Ef markaðsverð er ekki tiltækt getur Fjármálaeftirlitið heimilað fjármálafyrirtækjum að nota aðrar matsaðferðir með því skilyrði að þær séu nægilega varfærnislegar og viðurkenndar af Fjármálaeftirlitinu.</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Telja má innri baktryggingu/vörn til veltubókar en þá skal fara eftir C hluta í ofangreindum viðauka VII.</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Ákvæði 4. mgr. 21. gr. eiga við um mat á áhættuvog sértryggðra skuldabréfa í veltubók.</w:t>
            </w:r>
          </w:p>
          <w:p w:rsidR="008317D6" w:rsidRPr="00447F64" w:rsidRDefault="008317D6" w:rsidP="00E738BF">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6. gr.</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Eiginfjárkröfu vegna liða í veltubók skal reikna samkvæmt viðauka I skv. 55. gr. B vegna stöðuáhættu, samkvæmt viðauka II sömu greinar vegna uppgjörs og mótaðilaáhættu og eftir því sem við á með eigin líkönum samkvæmt viðauka V sömu greinar enda hafi Fjármálaeftirlitið veitt heimild til þess.</w:t>
            </w:r>
          </w:p>
          <w:p w:rsidR="008317D6" w:rsidRPr="00447F64" w:rsidRDefault="00C23FF4"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w:t>
            </w:r>
            <w:r w:rsidR="008317D6" w:rsidRPr="00447F64">
              <w:rPr>
                <w:rFonts w:ascii="Arial" w:eastAsia="Times New Roman" w:hAnsi="Arial" w:cs="Arial"/>
                <w:sz w:val="24"/>
                <w:szCs w:val="24"/>
                <w:lang w:eastAsia="is-IS"/>
              </w:rPr>
              <w:t xml:space="preserve">Þrátt fyrir ákvæði 1. mgr. er þeim fyrirtækjum þar sem veltubók viðkomandi fyrirtækis fer ekki yfir viðmiðunarmörk skv. 3. mgr., heimilt að reikna út eigið fé í samræmi við ákvæði 4. gr. 1. </w:t>
            </w:r>
            <w:proofErr w:type="spellStart"/>
            <w:r w:rsidR="008317D6" w:rsidRPr="00447F64">
              <w:rPr>
                <w:rFonts w:ascii="Arial" w:eastAsia="Times New Roman" w:hAnsi="Arial" w:cs="Arial"/>
                <w:sz w:val="24"/>
                <w:szCs w:val="24"/>
                <w:lang w:eastAsia="is-IS"/>
              </w:rPr>
              <w:t>tl</w:t>
            </w:r>
            <w:proofErr w:type="spellEnd"/>
            <w:r w:rsidR="008317D6" w:rsidRPr="00447F64">
              <w:rPr>
                <w:rFonts w:ascii="Arial" w:eastAsia="Times New Roman" w:hAnsi="Arial" w:cs="Arial"/>
                <w:sz w:val="24"/>
                <w:szCs w:val="24"/>
                <w:lang w:eastAsia="is-IS"/>
              </w:rPr>
              <w:t>. fyrir eignir sem annars væru taldar sem hluti veltubókar fyrirtækisins. Eftir sem áður skulu þessi fyrirtæki reikna út eiginfjárkröfu vegna gengisáhættu samkvæmt ákvæðum í viðauka III skv. 55. gr. B.</w:t>
            </w:r>
            <w:r w:rsidRPr="00447F64">
              <w:rPr>
                <w:rFonts w:ascii="Arial" w:eastAsia="Times New Roman" w:hAnsi="Arial" w:cs="Arial"/>
                <w:sz w:val="24"/>
                <w:szCs w:val="24"/>
                <w:lang w:eastAsia="is-IS"/>
              </w:rPr>
              <w:t>]</w:t>
            </w:r>
            <w:r w:rsidRPr="00447F64">
              <w:rPr>
                <w:rStyle w:val="FootnoteReference"/>
                <w:rFonts w:ascii="Arial" w:eastAsia="Times New Roman" w:hAnsi="Arial" w:cs="Arial"/>
                <w:sz w:val="24"/>
                <w:szCs w:val="24"/>
                <w:lang w:eastAsia="is-IS"/>
              </w:rPr>
              <w:footnoteReference w:id="7"/>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Viðmiðunarmörk fyrir undanþágu frá ákvæðum í viðauka I-II og IV-VI skv. 55. gr. B um mat á áhættuvegnum skuldbindingum vegna liða í veltubók eru eftirfarandi:</w:t>
            </w:r>
          </w:p>
          <w:p w:rsidR="008317D6" w:rsidRPr="00447F64" w:rsidRDefault="008317D6" w:rsidP="00447F64">
            <w:pPr>
              <w:numPr>
                <w:ilvl w:val="0"/>
                <w:numId w:val="5"/>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lastRenderedPageBreak/>
              <w:t xml:space="preserve">Veltubókarstaða fyrirtækis er að jafnaði ekki umfram 5% af heildarstöðu fyrirtækisins og fer að jafnaði ekki yfir 15 milljónir evra miðað við opinbert viðmiðunargengi evru eins og það er á hverjum tíma (nú u.þ.b. 1.350 milljónir króna). </w:t>
            </w:r>
          </w:p>
          <w:p w:rsidR="008317D6" w:rsidRPr="00447F64" w:rsidRDefault="008317D6" w:rsidP="00447F64">
            <w:pPr>
              <w:numPr>
                <w:ilvl w:val="0"/>
                <w:numId w:val="5"/>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Veltubókarstaða fyrirtækis er aldrei yfir 6% af heildarstöðu fyrirtækisins og fer aldrei yfir 20 milljónir evra miðað við opinbert viðmiðunargengi evru eins og það er á hverjum tíma (nú u.þ.b. 1.800 milljóna króna).</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Heildarstaða er samtala veltubókarstöðu og stöðu liða utan veltubókar. Við útreikning á heildarstöðu skal meta skuldaskjöl á markaðsvirði eða upprunalegu kaupverði, hlutabréf á markaðsvirði og afleiðusamninga skal meta miðað við markaðsvirði eða upprunalegt virði undirliggjandi fjármálagerninga. Við útreikning á veltubókarstöðu skal leggja saman </w:t>
            </w:r>
            <w:proofErr w:type="spellStart"/>
            <w:r w:rsidRPr="00447F64">
              <w:rPr>
                <w:rFonts w:ascii="Arial" w:eastAsia="Times New Roman" w:hAnsi="Arial" w:cs="Arial"/>
                <w:sz w:val="24"/>
                <w:szCs w:val="24"/>
                <w:lang w:eastAsia="is-IS"/>
              </w:rPr>
              <w:t>gnóttstöður</w:t>
            </w:r>
            <w:proofErr w:type="spellEnd"/>
            <w:r w:rsidRPr="00447F64">
              <w:rPr>
                <w:rFonts w:ascii="Arial" w:eastAsia="Times New Roman" w:hAnsi="Arial" w:cs="Arial"/>
                <w:sz w:val="24"/>
                <w:szCs w:val="24"/>
                <w:lang w:eastAsia="is-IS"/>
              </w:rPr>
              <w:t xml:space="preserve"> og skortstöður óháð formerkjum. </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Fari fjármálafyrirtæki út fyrir önnur eða bæði þau viðmiðunarmörk sem tilgreind eru í 1. og 2. </w:t>
            </w:r>
            <w:proofErr w:type="spellStart"/>
            <w:r w:rsidRPr="00447F64">
              <w:rPr>
                <w:rFonts w:ascii="Arial" w:eastAsia="Times New Roman" w:hAnsi="Arial" w:cs="Arial"/>
                <w:sz w:val="24"/>
                <w:szCs w:val="24"/>
                <w:lang w:eastAsia="is-IS"/>
              </w:rPr>
              <w:t>tl</w:t>
            </w:r>
            <w:proofErr w:type="spellEnd"/>
            <w:r w:rsidRPr="00447F64">
              <w:rPr>
                <w:rFonts w:ascii="Arial" w:eastAsia="Times New Roman" w:hAnsi="Arial" w:cs="Arial"/>
                <w:sz w:val="24"/>
                <w:szCs w:val="24"/>
                <w:lang w:eastAsia="is-IS"/>
              </w:rPr>
              <w:t xml:space="preserve">. </w:t>
            </w:r>
            <w:r w:rsidR="00C23FF4" w:rsidRPr="00447F64">
              <w:rPr>
                <w:rFonts w:ascii="Arial" w:eastAsia="Times New Roman" w:hAnsi="Arial" w:cs="Arial"/>
                <w:sz w:val="24"/>
                <w:szCs w:val="24"/>
                <w:lang w:eastAsia="is-IS"/>
              </w:rPr>
              <w:t>[</w:t>
            </w:r>
            <w:r w:rsidRPr="00447F64">
              <w:rPr>
                <w:rFonts w:ascii="Arial" w:eastAsia="Times New Roman" w:hAnsi="Arial" w:cs="Arial"/>
                <w:sz w:val="24"/>
                <w:szCs w:val="24"/>
                <w:lang w:eastAsia="is-IS"/>
              </w:rPr>
              <w:t>3. mgr.</w:t>
            </w:r>
            <w:r w:rsidR="00C23FF4" w:rsidRPr="00447F64">
              <w:rPr>
                <w:rFonts w:ascii="Arial" w:eastAsia="Times New Roman" w:hAnsi="Arial" w:cs="Arial"/>
                <w:sz w:val="24"/>
                <w:szCs w:val="24"/>
                <w:lang w:eastAsia="is-IS"/>
              </w:rPr>
              <w:t>]</w:t>
            </w:r>
            <w:r w:rsidR="00C23FF4" w:rsidRPr="00447F64">
              <w:rPr>
                <w:rStyle w:val="FootnoteReference"/>
                <w:rFonts w:ascii="Arial" w:eastAsia="Times New Roman" w:hAnsi="Arial" w:cs="Arial"/>
                <w:sz w:val="24"/>
                <w:szCs w:val="24"/>
                <w:lang w:eastAsia="is-IS"/>
              </w:rPr>
              <w:footnoteReference w:id="8"/>
            </w:r>
            <w:r w:rsidRPr="00447F64">
              <w:rPr>
                <w:rFonts w:ascii="Arial" w:eastAsia="Times New Roman" w:hAnsi="Arial" w:cs="Arial"/>
                <w:sz w:val="24"/>
                <w:szCs w:val="24"/>
                <w:lang w:eastAsia="is-IS"/>
              </w:rPr>
              <w:t xml:space="preserve"> í lengri tíma ber að meta veltubókarliði í samræmi við 1. mgr. 6. gr. og tilkynna það Fjármálaeftirlitinu.</w:t>
            </w:r>
          </w:p>
          <w:p w:rsidR="008317D6" w:rsidRPr="00447F64" w:rsidRDefault="008317D6" w:rsidP="00E738BF">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V. KAFLI</w:t>
            </w:r>
          </w:p>
          <w:p w:rsidR="008317D6" w:rsidRPr="00447F64" w:rsidRDefault="008317D6" w:rsidP="00E738BF">
            <w:pPr>
              <w:spacing w:before="100" w:beforeAutospacing="1" w:after="100" w:afterAutospacing="1" w:line="240" w:lineRule="auto"/>
              <w:jc w:val="center"/>
              <w:rPr>
                <w:rFonts w:ascii="Arial" w:eastAsia="Times New Roman" w:hAnsi="Arial" w:cs="Arial"/>
                <w:b/>
                <w:bCs/>
                <w:sz w:val="24"/>
                <w:szCs w:val="24"/>
                <w:lang w:eastAsia="is-IS"/>
              </w:rPr>
            </w:pPr>
            <w:r w:rsidRPr="00447F64">
              <w:rPr>
                <w:rFonts w:ascii="Arial" w:eastAsia="Times New Roman" w:hAnsi="Arial" w:cs="Arial"/>
                <w:b/>
                <w:bCs/>
                <w:sz w:val="24"/>
                <w:szCs w:val="24"/>
                <w:lang w:eastAsia="is-IS"/>
              </w:rPr>
              <w:t>Staðalaðferð.</w:t>
            </w:r>
          </w:p>
          <w:p w:rsidR="008317D6" w:rsidRPr="00447F64" w:rsidRDefault="008317D6" w:rsidP="00E738BF">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7. gr.</w:t>
            </w:r>
          </w:p>
          <w:p w:rsidR="008317D6" w:rsidRPr="00447F64" w:rsidRDefault="008317D6" w:rsidP="00E738BF">
            <w:pPr>
              <w:spacing w:before="100" w:beforeAutospacing="1" w:after="100" w:afterAutospacing="1" w:line="240" w:lineRule="auto"/>
              <w:jc w:val="center"/>
              <w:rPr>
                <w:rFonts w:ascii="Arial" w:eastAsia="Times New Roman" w:hAnsi="Arial" w:cs="Arial"/>
                <w:i/>
                <w:iCs/>
                <w:sz w:val="24"/>
                <w:szCs w:val="24"/>
                <w:lang w:eastAsia="is-IS"/>
              </w:rPr>
            </w:pPr>
            <w:r w:rsidRPr="00447F64">
              <w:rPr>
                <w:rFonts w:ascii="Arial" w:eastAsia="Times New Roman" w:hAnsi="Arial" w:cs="Arial"/>
                <w:i/>
                <w:iCs/>
                <w:sz w:val="24"/>
                <w:szCs w:val="24"/>
                <w:lang w:eastAsia="is-IS"/>
              </w:rPr>
              <w:t>Mat og matsfyrirtæki.</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Miða skal virði áhættuskuldbindingar við bókfært verð, nema annað sé tilgreint í þessum kafla. Vega skal sérhverja fjárhæð áhættuskuldbindingar með því að margfalda hana með áhættuvog sem ákvörðuð er eftir ákvæðum þessa kafla með hliðsjón af tegund áhættuskuldbindingarinnar sbr. 10. gr.</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Áhættuvog má ákvarða út frá lánshæfismati frá matsfyrirtækjum sem Fjármálaeftirlitið viðurkennir í því skyni enda er matið talið óhlutdrægt, óháð, trúverðugt, gegnsætt og undir stöðugri endurskoðun. Við viðurkenningu matsfyrirtækja skal styðjast við 2. hluta viðauka VI skv. 55. gr. A. Hafi eftirlitsstjórnvöld aðildarríkis EES viðurkennt matsfyrirtæki, getur Fjármálaeftirlitið viðurkennt það án frekari ráðstafana. Matsfyrirtæki þurfa að fá viðurkenningu Fjármálaeftirlitsins fyrir ósamningsbundnu mati </w:t>
            </w:r>
            <w:r w:rsidRPr="00447F64">
              <w:rPr>
                <w:rFonts w:ascii="Arial" w:eastAsia="Times New Roman" w:hAnsi="Arial" w:cs="Arial"/>
                <w:i/>
                <w:iCs/>
                <w:sz w:val="24"/>
                <w:szCs w:val="24"/>
                <w:lang w:eastAsia="is-IS"/>
              </w:rPr>
              <w:t xml:space="preserve">(e. </w:t>
            </w:r>
            <w:proofErr w:type="spellStart"/>
            <w:r w:rsidRPr="00447F64">
              <w:rPr>
                <w:rFonts w:ascii="Arial" w:eastAsia="Times New Roman" w:hAnsi="Arial" w:cs="Arial"/>
                <w:i/>
                <w:iCs/>
                <w:sz w:val="24"/>
                <w:szCs w:val="24"/>
                <w:lang w:eastAsia="is-IS"/>
              </w:rPr>
              <w:t>unsolicited</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ratings</w:t>
            </w:r>
            <w:proofErr w:type="spellEnd"/>
            <w:r w:rsidRPr="00447F64">
              <w:rPr>
                <w:rFonts w:ascii="Arial" w:eastAsia="Times New Roman" w:hAnsi="Arial" w:cs="Arial"/>
                <w:i/>
                <w:iCs/>
                <w:sz w:val="24"/>
                <w:szCs w:val="24"/>
                <w:lang w:eastAsia="is-IS"/>
              </w:rPr>
              <w:t>)</w:t>
            </w:r>
            <w:r w:rsidRPr="00447F64">
              <w:rPr>
                <w:rFonts w:ascii="Arial" w:eastAsia="Times New Roman" w:hAnsi="Arial" w:cs="Arial"/>
                <w:sz w:val="24"/>
                <w:szCs w:val="24"/>
                <w:lang w:eastAsia="is-IS"/>
              </w:rPr>
              <w:t xml:space="preserve">. Fjármálaeftirlitið birtir lista yfir viðurkennd matsfyrirtæki á heimasíðu sinni. Þar kemur jafnframt fram hvort Fjármálaeftirlitið viðurkenni bæði samningsbundið </w:t>
            </w:r>
            <w:r w:rsidRPr="00447F64">
              <w:rPr>
                <w:rFonts w:ascii="Arial" w:eastAsia="Times New Roman" w:hAnsi="Arial" w:cs="Arial"/>
                <w:i/>
                <w:iCs/>
                <w:sz w:val="24"/>
                <w:szCs w:val="24"/>
                <w:lang w:eastAsia="is-IS"/>
              </w:rPr>
              <w:t xml:space="preserve">(e. </w:t>
            </w:r>
            <w:proofErr w:type="spellStart"/>
            <w:r w:rsidRPr="00447F64">
              <w:rPr>
                <w:rFonts w:ascii="Arial" w:eastAsia="Times New Roman" w:hAnsi="Arial" w:cs="Arial"/>
                <w:i/>
                <w:iCs/>
                <w:sz w:val="24"/>
                <w:szCs w:val="24"/>
                <w:lang w:eastAsia="is-IS"/>
              </w:rPr>
              <w:t>solicited</w:t>
            </w:r>
            <w:proofErr w:type="spellEnd"/>
            <w:r w:rsidRPr="00447F64">
              <w:rPr>
                <w:rFonts w:ascii="Arial" w:eastAsia="Times New Roman" w:hAnsi="Arial" w:cs="Arial"/>
                <w:i/>
                <w:iCs/>
                <w:sz w:val="24"/>
                <w:szCs w:val="24"/>
                <w:lang w:eastAsia="is-IS"/>
              </w:rPr>
              <w:t>)</w:t>
            </w:r>
            <w:r w:rsidRPr="00447F64">
              <w:rPr>
                <w:rFonts w:ascii="Arial" w:eastAsia="Times New Roman" w:hAnsi="Arial" w:cs="Arial"/>
                <w:sz w:val="24"/>
                <w:szCs w:val="24"/>
                <w:lang w:eastAsia="is-IS"/>
              </w:rPr>
              <w:t xml:space="preserve"> og ósamningsbundið mat matsfyrirtækjanna.</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Sérhver lánshæfiseinkunn á sér samsvörun í þrepi útlánagæða </w:t>
            </w:r>
            <w:r w:rsidR="00C23FF4" w:rsidRPr="00447F64">
              <w:rPr>
                <w:rFonts w:ascii="Arial" w:eastAsia="Times New Roman" w:hAnsi="Arial" w:cs="Arial"/>
                <w:sz w:val="24"/>
                <w:szCs w:val="24"/>
                <w:lang w:eastAsia="is-IS"/>
              </w:rPr>
              <w:t>[</w:t>
            </w:r>
            <w:r w:rsidRPr="00447F64">
              <w:rPr>
                <w:rFonts w:ascii="Arial" w:eastAsia="Times New Roman" w:hAnsi="Arial" w:cs="Arial"/>
                <w:sz w:val="24"/>
                <w:szCs w:val="24"/>
                <w:lang w:eastAsia="is-IS"/>
              </w:rPr>
              <w:t>samkvæmt viðauka 1 (vörpun lánshæfismats) við reglur þessar.</w:t>
            </w:r>
            <w:r w:rsidR="00C23FF4" w:rsidRPr="00447F64">
              <w:rPr>
                <w:rFonts w:ascii="Arial" w:eastAsia="Times New Roman" w:hAnsi="Arial" w:cs="Arial"/>
                <w:sz w:val="24"/>
                <w:szCs w:val="24"/>
                <w:lang w:eastAsia="is-IS"/>
              </w:rPr>
              <w:t>]</w:t>
            </w:r>
            <w:r w:rsidR="00C23FF4" w:rsidRPr="00447F64">
              <w:rPr>
                <w:rStyle w:val="FootnoteReference"/>
                <w:rFonts w:ascii="Arial" w:eastAsia="Times New Roman" w:hAnsi="Arial" w:cs="Arial"/>
                <w:sz w:val="24"/>
                <w:szCs w:val="24"/>
                <w:lang w:eastAsia="is-IS"/>
              </w:rPr>
              <w:footnoteReference w:id="9"/>
            </w:r>
            <w:r w:rsidRPr="00447F64">
              <w:rPr>
                <w:rFonts w:ascii="Arial" w:eastAsia="Times New Roman" w:hAnsi="Arial" w:cs="Arial"/>
                <w:sz w:val="24"/>
                <w:szCs w:val="24"/>
                <w:lang w:eastAsia="is-IS"/>
              </w:rPr>
              <w:t xml:space="preserve"> Þrep </w:t>
            </w:r>
            <w:proofErr w:type="spellStart"/>
            <w:r w:rsidRPr="00447F64">
              <w:rPr>
                <w:rFonts w:ascii="Arial" w:eastAsia="Times New Roman" w:hAnsi="Arial" w:cs="Arial"/>
                <w:sz w:val="24"/>
                <w:szCs w:val="24"/>
                <w:lang w:eastAsia="is-IS"/>
              </w:rPr>
              <w:t>úlánagæða</w:t>
            </w:r>
            <w:proofErr w:type="spellEnd"/>
            <w:r w:rsidRPr="00447F64">
              <w:rPr>
                <w:rFonts w:ascii="Arial" w:eastAsia="Times New Roman" w:hAnsi="Arial" w:cs="Arial"/>
                <w:sz w:val="24"/>
                <w:szCs w:val="24"/>
                <w:lang w:eastAsia="is-IS"/>
              </w:rPr>
              <w:t xml:space="preserve"> samsvara síðan áhættuvogum eins og nánar er kveðið á um í ákvæðum um einstakar tegundir áhættuskuldbindinga skv. 11.-25. gr. Hafi eftirlitsstjórnvöld aðildarríkis </w:t>
            </w:r>
            <w:r w:rsidRPr="00447F64">
              <w:rPr>
                <w:rFonts w:ascii="Arial" w:eastAsia="Times New Roman" w:hAnsi="Arial" w:cs="Arial"/>
                <w:sz w:val="24"/>
                <w:szCs w:val="24"/>
                <w:lang w:eastAsia="is-IS"/>
              </w:rPr>
              <w:lastRenderedPageBreak/>
              <w:t xml:space="preserve">EES tekið ákvörðun um hvaða þrep útlánagæða beri að nota getur Fjármálaeftirlitið notað þessi sömu þrep án frekari ráðstafana. </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Fjármálafyrirtæki sem kýs að nota lánshæfismat tiltekins matsfyrirtækis við ákvörðun á áhættuvog fyrir einhverja tegund áhættuskuldbindinga skal nota það fyrir allar áhættuskuldbindingar af þeirri tegund. Ef fjármálafyrirtæki kýs að nota lánshæfiseinkunnir frá tveimur matsfyrirtækjum skal nota þá sem gefur hærri áhættuvog á hverja áhættuskuldbindingu um sig. Ef notaðar eru lánshæfis</w:t>
            </w:r>
            <w:r w:rsidRPr="00447F64">
              <w:rPr>
                <w:rFonts w:ascii="Arial" w:eastAsia="Times New Roman" w:hAnsi="Arial" w:cs="Arial"/>
                <w:sz w:val="24"/>
                <w:szCs w:val="24"/>
                <w:lang w:eastAsia="is-IS"/>
              </w:rPr>
              <w:softHyphen/>
              <w:t xml:space="preserve">einkunnir frá fleiri en tveimur matsfyrirtækjum skal nota þá sem gefur næstlægstu áhættuvog. Ef tvær lægstu áhættuvogirnar eru samhljóða er sú áhættuvog notuð. Sjá nánar í 3. hluta viðauka VI skv. 55. gr. A. </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Reikna skal fjárhæð áhættuskuldbindinga utan efnahags skv. 8. gr. fyrir þá liði sem þar eru taldir upp.</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Afleiður sem tilgreindar eru í 9. gr. skal meta eins og þar er lýst.</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Fjárhæð áhættuskuldbindingar má endurmeta með hliðsjón af tryggingum og ábyrgðum skv. VII. kafla.</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proofErr w:type="spellStart"/>
            <w:r w:rsidRPr="00447F64">
              <w:rPr>
                <w:rFonts w:ascii="Arial" w:eastAsia="Times New Roman" w:hAnsi="Arial" w:cs="Arial"/>
                <w:sz w:val="24"/>
                <w:szCs w:val="24"/>
                <w:lang w:eastAsia="is-IS"/>
              </w:rPr>
              <w:t>Verðbréfaðar</w:t>
            </w:r>
            <w:proofErr w:type="spellEnd"/>
            <w:r w:rsidRPr="00447F64">
              <w:rPr>
                <w:rFonts w:ascii="Arial" w:eastAsia="Times New Roman" w:hAnsi="Arial" w:cs="Arial"/>
                <w:sz w:val="24"/>
                <w:szCs w:val="24"/>
                <w:lang w:eastAsia="is-IS"/>
              </w:rPr>
              <w:t xml:space="preserve"> stöður skal meta skv. VIII. kafla.</w:t>
            </w:r>
          </w:p>
          <w:p w:rsidR="008317D6" w:rsidRPr="00447F64" w:rsidRDefault="008317D6" w:rsidP="00E738BF">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8. gr.</w:t>
            </w:r>
          </w:p>
          <w:p w:rsidR="008317D6" w:rsidRPr="00447F64" w:rsidRDefault="008317D6" w:rsidP="00E738BF">
            <w:pPr>
              <w:spacing w:before="100" w:beforeAutospacing="1" w:after="100" w:afterAutospacing="1" w:line="240" w:lineRule="auto"/>
              <w:jc w:val="center"/>
              <w:rPr>
                <w:rFonts w:ascii="Arial" w:eastAsia="Times New Roman" w:hAnsi="Arial" w:cs="Arial"/>
                <w:i/>
                <w:iCs/>
                <w:sz w:val="24"/>
                <w:szCs w:val="24"/>
                <w:lang w:eastAsia="is-IS"/>
              </w:rPr>
            </w:pPr>
            <w:r w:rsidRPr="00447F64">
              <w:rPr>
                <w:rFonts w:ascii="Arial" w:eastAsia="Times New Roman" w:hAnsi="Arial" w:cs="Arial"/>
                <w:i/>
                <w:iCs/>
                <w:sz w:val="24"/>
                <w:szCs w:val="24"/>
                <w:lang w:eastAsia="is-IS"/>
              </w:rPr>
              <w:t>Liðir utan efnahags, breytistuðlar.</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Virði áhættuskuldbindinga utan efnahags sem taldar eru í þessari grein skal reikna með því að margfalda fjárhæðir þessara liða hvers um sig með breytistuðlum eins og greinir hér á eftir. Þessar áhættuskuldbindingar eru greindar eftir tegund og fær fjárhæð samkvæmt þessari grein áhættuvog eftir reglum um viðkomandi tegund.</w:t>
            </w:r>
          </w:p>
          <w:p w:rsidR="008317D6" w:rsidRPr="00447F64" w:rsidRDefault="008317D6" w:rsidP="00447F64">
            <w:pPr>
              <w:spacing w:before="100" w:beforeAutospacing="1" w:after="100" w:afterAutospacing="1" w:line="240" w:lineRule="auto"/>
              <w:jc w:val="both"/>
              <w:rPr>
                <w:rFonts w:ascii="Arial" w:eastAsia="Times New Roman" w:hAnsi="Arial" w:cs="Arial"/>
                <w:i/>
                <w:iCs/>
                <w:sz w:val="24"/>
                <w:szCs w:val="24"/>
                <w:lang w:eastAsia="is-IS"/>
              </w:rPr>
            </w:pPr>
            <w:r w:rsidRPr="00447F64">
              <w:rPr>
                <w:rFonts w:ascii="Arial" w:eastAsia="Times New Roman" w:hAnsi="Arial" w:cs="Arial"/>
                <w:i/>
                <w:iCs/>
                <w:sz w:val="24"/>
                <w:szCs w:val="24"/>
                <w:lang w:eastAsia="is-IS"/>
              </w:rPr>
              <w:t>1. Mikil áhætta, breytistuðull 1,0:</w:t>
            </w:r>
          </w:p>
          <w:p w:rsidR="008317D6" w:rsidRPr="00447F64" w:rsidRDefault="008317D6" w:rsidP="00447F64">
            <w:pPr>
              <w:numPr>
                <w:ilvl w:val="0"/>
                <w:numId w:val="6"/>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Ábyrgðir sem jafna má til beinna lána, </w:t>
            </w:r>
          </w:p>
          <w:p w:rsidR="008317D6" w:rsidRPr="00447F64" w:rsidRDefault="008317D6" w:rsidP="00447F64">
            <w:pPr>
              <w:numPr>
                <w:ilvl w:val="0"/>
                <w:numId w:val="6"/>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skuldaafleiður, </w:t>
            </w:r>
          </w:p>
          <w:p w:rsidR="008317D6" w:rsidRPr="00447F64" w:rsidRDefault="008317D6" w:rsidP="00447F64">
            <w:pPr>
              <w:numPr>
                <w:ilvl w:val="0"/>
                <w:numId w:val="6"/>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samþykktir víxlar, </w:t>
            </w:r>
          </w:p>
          <w:p w:rsidR="008317D6" w:rsidRPr="00447F64" w:rsidRDefault="008317D6" w:rsidP="00447F64">
            <w:pPr>
              <w:numPr>
                <w:ilvl w:val="0"/>
                <w:numId w:val="6"/>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framsal á víxlum, þó ekki ef önnur lánastofnun hefur áritað um ábyrgð framar á víxlinum, </w:t>
            </w:r>
          </w:p>
          <w:p w:rsidR="008317D6" w:rsidRPr="00447F64" w:rsidRDefault="008317D6" w:rsidP="00447F64">
            <w:pPr>
              <w:numPr>
                <w:ilvl w:val="0"/>
                <w:numId w:val="6"/>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viðskipti með endurkröfurétti, </w:t>
            </w:r>
          </w:p>
          <w:p w:rsidR="008317D6" w:rsidRPr="00447F64" w:rsidRDefault="008317D6" w:rsidP="00447F64">
            <w:pPr>
              <w:numPr>
                <w:ilvl w:val="0"/>
                <w:numId w:val="6"/>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óafturkræfar ábyrgðir sem jafna má til beinna lána, </w:t>
            </w:r>
          </w:p>
          <w:p w:rsidR="008317D6" w:rsidRPr="00447F64" w:rsidRDefault="008317D6" w:rsidP="00447F64">
            <w:pPr>
              <w:numPr>
                <w:ilvl w:val="0"/>
                <w:numId w:val="6"/>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eignir keyptar samkvæmt framvirkum kaupsamningi, </w:t>
            </w:r>
          </w:p>
          <w:p w:rsidR="008317D6" w:rsidRPr="00447F64" w:rsidRDefault="008317D6" w:rsidP="00447F64">
            <w:pPr>
              <w:numPr>
                <w:ilvl w:val="0"/>
                <w:numId w:val="6"/>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framvirk innlánsviðskipti, </w:t>
            </w:r>
          </w:p>
          <w:p w:rsidR="008317D6" w:rsidRPr="00447F64" w:rsidRDefault="008317D6" w:rsidP="00447F64">
            <w:pPr>
              <w:numPr>
                <w:ilvl w:val="0"/>
                <w:numId w:val="6"/>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ógreiddur hluti í hlutabréfum og verðbréfum sem eru greidd að hluta, </w:t>
            </w:r>
          </w:p>
          <w:p w:rsidR="008317D6" w:rsidRPr="00447F64" w:rsidRDefault="008317D6" w:rsidP="00447F64">
            <w:pPr>
              <w:numPr>
                <w:ilvl w:val="0"/>
                <w:numId w:val="6"/>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sölu- og endurkaupatryggingar þar sem lánaáhættan helst hjá fyrirtækinu, og </w:t>
            </w:r>
          </w:p>
          <w:p w:rsidR="008317D6" w:rsidRPr="00447F64" w:rsidRDefault="008317D6" w:rsidP="00447F64">
            <w:pPr>
              <w:numPr>
                <w:ilvl w:val="0"/>
                <w:numId w:val="6"/>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aðrir liðir með mikla áhættu.</w:t>
            </w:r>
          </w:p>
          <w:p w:rsidR="008317D6" w:rsidRPr="00447F64" w:rsidRDefault="008317D6" w:rsidP="00447F64">
            <w:pPr>
              <w:spacing w:before="100" w:beforeAutospacing="1" w:after="100" w:afterAutospacing="1" w:line="240" w:lineRule="auto"/>
              <w:jc w:val="both"/>
              <w:rPr>
                <w:rFonts w:ascii="Arial" w:eastAsia="Times New Roman" w:hAnsi="Arial" w:cs="Arial"/>
                <w:i/>
                <w:iCs/>
                <w:sz w:val="24"/>
                <w:szCs w:val="24"/>
                <w:lang w:eastAsia="is-IS"/>
              </w:rPr>
            </w:pPr>
            <w:r w:rsidRPr="00447F64">
              <w:rPr>
                <w:rFonts w:ascii="Arial" w:eastAsia="Times New Roman" w:hAnsi="Arial" w:cs="Arial"/>
                <w:i/>
                <w:iCs/>
                <w:sz w:val="24"/>
                <w:szCs w:val="24"/>
                <w:lang w:eastAsia="is-IS"/>
              </w:rPr>
              <w:t>2. Miðlungsáhætta, breytistuðull 0,5:</w:t>
            </w:r>
          </w:p>
          <w:p w:rsidR="008317D6" w:rsidRPr="00447F64" w:rsidRDefault="008317D6" w:rsidP="00447F64">
            <w:pPr>
              <w:numPr>
                <w:ilvl w:val="0"/>
                <w:numId w:val="7"/>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lastRenderedPageBreak/>
              <w:t xml:space="preserve">Útgefnar skjalaábyrgðir og staðfestar skjalaábyrgðir, </w:t>
            </w:r>
          </w:p>
          <w:p w:rsidR="008317D6" w:rsidRPr="00447F64" w:rsidRDefault="008317D6" w:rsidP="00447F64">
            <w:pPr>
              <w:numPr>
                <w:ilvl w:val="0"/>
                <w:numId w:val="7"/>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ábyrgðir og tryggingar (þar með taldar tilboðs-, fullnustu-, tolla- og skatta</w:t>
            </w:r>
            <w:r w:rsidRPr="00447F64">
              <w:rPr>
                <w:rFonts w:ascii="Arial" w:eastAsia="Times New Roman" w:hAnsi="Arial" w:cs="Arial"/>
                <w:sz w:val="24"/>
                <w:szCs w:val="24"/>
                <w:lang w:eastAsia="is-IS"/>
              </w:rPr>
              <w:softHyphen/>
              <w:t xml:space="preserve">ábyrgðir) og ábyrgðir sem ekki verður jafnað til beinna lána, </w:t>
            </w:r>
          </w:p>
          <w:p w:rsidR="008317D6" w:rsidRPr="00447F64" w:rsidRDefault="008317D6" w:rsidP="00447F64">
            <w:pPr>
              <w:numPr>
                <w:ilvl w:val="0"/>
                <w:numId w:val="7"/>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óafturkræfar bakábyrgðir sem ekki verður jafnað til beinna lána, </w:t>
            </w:r>
          </w:p>
          <w:p w:rsidR="008317D6" w:rsidRPr="00447F64" w:rsidRDefault="008317D6" w:rsidP="00447F64">
            <w:pPr>
              <w:numPr>
                <w:ilvl w:val="0"/>
                <w:numId w:val="7"/>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ónotaðar lánsheimildir (skuldbindingar um að lána, kaupa verðbréf, afla trygginga eða samþykkis á víxla) upphaflega til lengri tíma en 1 árs, </w:t>
            </w:r>
          </w:p>
          <w:p w:rsidR="008317D6" w:rsidRPr="00447F64" w:rsidRDefault="008317D6" w:rsidP="00447F64">
            <w:pPr>
              <w:numPr>
                <w:ilvl w:val="0"/>
                <w:numId w:val="7"/>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sölutryggingar vegna verðbréfaútgáfu og hlaupandi sölutryggingar vegna verð</w:t>
            </w:r>
            <w:r w:rsidRPr="00447F64">
              <w:rPr>
                <w:rFonts w:ascii="Arial" w:eastAsia="Times New Roman" w:hAnsi="Arial" w:cs="Arial"/>
                <w:sz w:val="24"/>
                <w:szCs w:val="24"/>
                <w:lang w:eastAsia="is-IS"/>
              </w:rPr>
              <w:softHyphen/>
              <w:t xml:space="preserve">bréfa, og </w:t>
            </w:r>
          </w:p>
          <w:p w:rsidR="008317D6" w:rsidRPr="00447F64" w:rsidRDefault="008317D6" w:rsidP="00447F64">
            <w:pPr>
              <w:numPr>
                <w:ilvl w:val="0"/>
                <w:numId w:val="7"/>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aðrir liðir með miðlungsáhættu.</w:t>
            </w:r>
          </w:p>
          <w:p w:rsidR="008317D6" w:rsidRPr="00447F64" w:rsidRDefault="008317D6" w:rsidP="00447F64">
            <w:pPr>
              <w:spacing w:before="100" w:beforeAutospacing="1" w:after="100" w:afterAutospacing="1" w:line="240" w:lineRule="auto"/>
              <w:jc w:val="both"/>
              <w:rPr>
                <w:rFonts w:ascii="Arial" w:eastAsia="Times New Roman" w:hAnsi="Arial" w:cs="Arial"/>
                <w:i/>
                <w:iCs/>
                <w:sz w:val="24"/>
                <w:szCs w:val="24"/>
                <w:lang w:eastAsia="is-IS"/>
              </w:rPr>
            </w:pPr>
            <w:r w:rsidRPr="00447F64">
              <w:rPr>
                <w:rFonts w:ascii="Arial" w:eastAsia="Times New Roman" w:hAnsi="Arial" w:cs="Arial"/>
                <w:i/>
                <w:iCs/>
                <w:sz w:val="24"/>
                <w:szCs w:val="24"/>
                <w:lang w:eastAsia="is-IS"/>
              </w:rPr>
              <w:t>3. Miðlungs/lítil áhætta, breytistuðull 0,2:</w:t>
            </w:r>
          </w:p>
          <w:p w:rsidR="008317D6" w:rsidRPr="00447F64" w:rsidRDefault="008317D6" w:rsidP="00447F64">
            <w:pPr>
              <w:numPr>
                <w:ilvl w:val="0"/>
                <w:numId w:val="8"/>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Skjalaábyrgðir, þar sem vörusending er sett sem veð, og önnur áþekk viðskipti, </w:t>
            </w:r>
          </w:p>
          <w:p w:rsidR="008317D6" w:rsidRPr="00447F64" w:rsidRDefault="00C23FF4" w:rsidP="00447F64">
            <w:pPr>
              <w:numPr>
                <w:ilvl w:val="0"/>
                <w:numId w:val="8"/>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w:t>
            </w:r>
            <w:r w:rsidR="008317D6" w:rsidRPr="00447F64">
              <w:rPr>
                <w:rFonts w:ascii="Arial" w:eastAsia="Times New Roman" w:hAnsi="Arial" w:cs="Arial"/>
                <w:sz w:val="24"/>
                <w:szCs w:val="24"/>
                <w:lang w:eastAsia="is-IS"/>
              </w:rPr>
              <w:t xml:space="preserve">ónotaðar lánsheimildir (skuldbindingar um að lána, kaupa verðbréf, afla trygginga eða samþykkis á víxla) upphaflega til allt að 1 árs sem ekki er hægt að segja upp skilyrðislaust án fyrirvara hvenær sem er eða </w:t>
            </w:r>
            <w:r w:rsidR="00786B63" w:rsidRPr="00447F64">
              <w:rPr>
                <w:rFonts w:ascii="Arial" w:eastAsia="Times New Roman" w:hAnsi="Arial" w:cs="Arial"/>
                <w:sz w:val="24"/>
                <w:szCs w:val="24"/>
                <w:lang w:eastAsia="is-IS"/>
              </w:rPr>
              <w:t xml:space="preserve">sem </w:t>
            </w:r>
            <w:r w:rsidR="008317D6" w:rsidRPr="00447F64">
              <w:rPr>
                <w:rFonts w:ascii="Arial" w:eastAsia="Times New Roman" w:hAnsi="Arial" w:cs="Arial"/>
                <w:sz w:val="24"/>
                <w:szCs w:val="24"/>
                <w:lang w:eastAsia="is-IS"/>
              </w:rPr>
              <w:t>ógilda</w:t>
            </w:r>
            <w:r w:rsidR="00786B63" w:rsidRPr="00447F64">
              <w:rPr>
                <w:rFonts w:ascii="Arial" w:eastAsia="Times New Roman" w:hAnsi="Arial" w:cs="Arial"/>
                <w:sz w:val="24"/>
                <w:szCs w:val="24"/>
                <w:lang w:eastAsia="is-IS"/>
              </w:rPr>
              <w:t>st</w:t>
            </w:r>
            <w:r w:rsidR="008317D6" w:rsidRPr="00447F64">
              <w:rPr>
                <w:rFonts w:ascii="Arial" w:eastAsia="Times New Roman" w:hAnsi="Arial" w:cs="Arial"/>
                <w:sz w:val="24"/>
                <w:szCs w:val="24"/>
                <w:lang w:eastAsia="is-IS"/>
              </w:rPr>
              <w:t xml:space="preserve"> </w:t>
            </w:r>
            <w:r w:rsidR="00786B63" w:rsidRPr="00447F64">
              <w:rPr>
                <w:rFonts w:ascii="Arial" w:eastAsia="Times New Roman" w:hAnsi="Arial" w:cs="Arial"/>
                <w:sz w:val="24"/>
                <w:szCs w:val="24"/>
                <w:lang w:eastAsia="is-IS"/>
              </w:rPr>
              <w:t xml:space="preserve">ekki </w:t>
            </w:r>
            <w:r w:rsidR="008317D6" w:rsidRPr="00447F64">
              <w:rPr>
                <w:rFonts w:ascii="Arial" w:eastAsia="Times New Roman" w:hAnsi="Arial" w:cs="Arial"/>
                <w:sz w:val="24"/>
                <w:szCs w:val="24"/>
                <w:lang w:eastAsia="is-IS"/>
              </w:rPr>
              <w:t>sjálfkrafa vegna minnkandi lánstrausts lántakanda</w:t>
            </w:r>
            <w:r w:rsidR="00786B63" w:rsidRPr="00447F64">
              <w:rPr>
                <w:rFonts w:ascii="Arial" w:eastAsia="Times New Roman" w:hAnsi="Arial" w:cs="Arial"/>
                <w:sz w:val="24"/>
                <w:szCs w:val="24"/>
                <w:lang w:eastAsia="is-IS"/>
              </w:rPr>
              <w:t>,</w:t>
            </w:r>
            <w:r w:rsidR="008317D6" w:rsidRPr="00447F64">
              <w:rPr>
                <w:rFonts w:ascii="Arial" w:eastAsia="Times New Roman" w:hAnsi="Arial" w:cs="Arial"/>
                <w:sz w:val="24"/>
                <w:szCs w:val="24"/>
                <w:lang w:eastAsia="is-IS"/>
              </w:rPr>
              <w:t xml:space="preserve"> og</w:t>
            </w:r>
            <w:r w:rsidRPr="00447F64">
              <w:rPr>
                <w:rFonts w:ascii="Arial" w:eastAsia="Times New Roman" w:hAnsi="Arial" w:cs="Arial"/>
                <w:sz w:val="24"/>
                <w:szCs w:val="24"/>
                <w:lang w:eastAsia="is-IS"/>
              </w:rPr>
              <w:t>]</w:t>
            </w:r>
            <w:r w:rsidRPr="00447F64">
              <w:rPr>
                <w:rStyle w:val="FootnoteReference"/>
                <w:rFonts w:ascii="Arial" w:eastAsia="Times New Roman" w:hAnsi="Arial" w:cs="Arial"/>
                <w:sz w:val="24"/>
                <w:szCs w:val="24"/>
                <w:lang w:eastAsia="is-IS"/>
              </w:rPr>
              <w:footnoteReference w:id="10"/>
            </w:r>
            <w:r w:rsidR="008317D6" w:rsidRPr="00447F64">
              <w:rPr>
                <w:rFonts w:ascii="Arial" w:eastAsia="Times New Roman" w:hAnsi="Arial" w:cs="Arial"/>
                <w:sz w:val="24"/>
                <w:szCs w:val="24"/>
                <w:lang w:eastAsia="is-IS"/>
              </w:rPr>
              <w:t xml:space="preserve"> </w:t>
            </w:r>
          </w:p>
          <w:p w:rsidR="008317D6" w:rsidRPr="00447F64" w:rsidRDefault="008317D6" w:rsidP="00447F64">
            <w:pPr>
              <w:numPr>
                <w:ilvl w:val="0"/>
                <w:numId w:val="8"/>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aðrir liðir með miðlungs/litla áhættu.</w:t>
            </w:r>
          </w:p>
          <w:p w:rsidR="008317D6" w:rsidRPr="00447F64" w:rsidRDefault="008317D6" w:rsidP="00447F64">
            <w:pPr>
              <w:spacing w:before="100" w:beforeAutospacing="1" w:after="100" w:afterAutospacing="1" w:line="240" w:lineRule="auto"/>
              <w:jc w:val="both"/>
              <w:rPr>
                <w:rFonts w:ascii="Arial" w:eastAsia="Times New Roman" w:hAnsi="Arial" w:cs="Arial"/>
                <w:i/>
                <w:iCs/>
                <w:sz w:val="24"/>
                <w:szCs w:val="24"/>
                <w:lang w:eastAsia="is-IS"/>
              </w:rPr>
            </w:pPr>
            <w:r w:rsidRPr="00447F64">
              <w:rPr>
                <w:rFonts w:ascii="Arial" w:eastAsia="Times New Roman" w:hAnsi="Arial" w:cs="Arial"/>
                <w:i/>
                <w:iCs/>
                <w:sz w:val="24"/>
                <w:szCs w:val="24"/>
                <w:lang w:eastAsia="is-IS"/>
              </w:rPr>
              <w:t>4. Lítil áhætta, breytistuðull 0,0:</w:t>
            </w:r>
          </w:p>
          <w:p w:rsidR="008317D6" w:rsidRPr="00447F64" w:rsidRDefault="00C23FF4" w:rsidP="00447F64">
            <w:pPr>
              <w:numPr>
                <w:ilvl w:val="0"/>
                <w:numId w:val="9"/>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w:t>
            </w:r>
            <w:r w:rsidR="008317D6" w:rsidRPr="00447F64">
              <w:rPr>
                <w:rFonts w:ascii="Arial" w:eastAsia="Times New Roman" w:hAnsi="Arial" w:cs="Arial"/>
                <w:sz w:val="24"/>
                <w:szCs w:val="24"/>
                <w:lang w:eastAsia="is-IS"/>
              </w:rPr>
              <w:t xml:space="preserve">Ónotaðar lánsheimildir (ónotaðar yfirdráttarheimildir, skuldbindingar um að lána, kaupa verðbréf, afla trygginga eða samþykkis á víxla) sem hægt er að segja upp skilyrðislaust án fyrirvara hvenær sem er eða </w:t>
            </w:r>
            <w:r w:rsidR="00786B63" w:rsidRPr="00447F64">
              <w:rPr>
                <w:rFonts w:ascii="Arial" w:eastAsia="Times New Roman" w:hAnsi="Arial" w:cs="Arial"/>
                <w:sz w:val="24"/>
                <w:szCs w:val="24"/>
                <w:lang w:eastAsia="is-IS"/>
              </w:rPr>
              <w:t xml:space="preserve">sem </w:t>
            </w:r>
            <w:r w:rsidR="008317D6" w:rsidRPr="00447F64">
              <w:rPr>
                <w:rFonts w:ascii="Arial" w:eastAsia="Times New Roman" w:hAnsi="Arial" w:cs="Arial"/>
                <w:sz w:val="24"/>
                <w:szCs w:val="24"/>
                <w:lang w:eastAsia="is-IS"/>
              </w:rPr>
              <w:t>ógilda</w:t>
            </w:r>
            <w:r w:rsidR="00786B63" w:rsidRPr="00447F64">
              <w:rPr>
                <w:rFonts w:ascii="Arial" w:eastAsia="Times New Roman" w:hAnsi="Arial" w:cs="Arial"/>
                <w:sz w:val="24"/>
                <w:szCs w:val="24"/>
                <w:lang w:eastAsia="is-IS"/>
              </w:rPr>
              <w:t>st</w:t>
            </w:r>
            <w:r w:rsidR="008317D6" w:rsidRPr="00447F64">
              <w:rPr>
                <w:rFonts w:ascii="Arial" w:eastAsia="Times New Roman" w:hAnsi="Arial" w:cs="Arial"/>
                <w:sz w:val="24"/>
                <w:szCs w:val="24"/>
                <w:lang w:eastAsia="is-IS"/>
              </w:rPr>
              <w:t xml:space="preserve"> sjálfkrafa vegna minnkandi lánstrausts lántakanda</w:t>
            </w:r>
            <w:r w:rsidR="00786B63" w:rsidRPr="00447F64">
              <w:rPr>
                <w:rFonts w:ascii="Arial" w:eastAsia="Times New Roman" w:hAnsi="Arial" w:cs="Arial"/>
                <w:sz w:val="24"/>
                <w:szCs w:val="24"/>
                <w:lang w:eastAsia="is-IS"/>
              </w:rPr>
              <w:t>,</w:t>
            </w:r>
            <w:r w:rsidR="008317D6" w:rsidRPr="00447F64">
              <w:rPr>
                <w:rFonts w:ascii="Arial" w:eastAsia="Times New Roman" w:hAnsi="Arial" w:cs="Arial"/>
                <w:sz w:val="24"/>
                <w:szCs w:val="24"/>
                <w:lang w:eastAsia="is-IS"/>
              </w:rPr>
              <w:t xml:space="preserve"> og</w:t>
            </w:r>
            <w:r w:rsidRPr="00447F64">
              <w:rPr>
                <w:rFonts w:ascii="Arial" w:eastAsia="Times New Roman" w:hAnsi="Arial" w:cs="Arial"/>
                <w:sz w:val="24"/>
                <w:szCs w:val="24"/>
                <w:lang w:eastAsia="is-IS"/>
              </w:rPr>
              <w:t>]</w:t>
            </w:r>
            <w:r w:rsidRPr="00447F64">
              <w:rPr>
                <w:rStyle w:val="FootnoteReference"/>
                <w:rFonts w:ascii="Arial" w:eastAsia="Times New Roman" w:hAnsi="Arial" w:cs="Arial"/>
                <w:sz w:val="24"/>
                <w:szCs w:val="24"/>
                <w:lang w:eastAsia="is-IS"/>
              </w:rPr>
              <w:footnoteReference w:id="11"/>
            </w:r>
            <w:r w:rsidR="008317D6" w:rsidRPr="00447F64">
              <w:rPr>
                <w:rFonts w:ascii="Arial" w:eastAsia="Times New Roman" w:hAnsi="Arial" w:cs="Arial"/>
                <w:sz w:val="24"/>
                <w:szCs w:val="24"/>
                <w:lang w:eastAsia="is-IS"/>
              </w:rPr>
              <w:t xml:space="preserve"> </w:t>
            </w:r>
          </w:p>
          <w:p w:rsidR="008317D6" w:rsidRPr="00447F64" w:rsidRDefault="008317D6" w:rsidP="00447F64">
            <w:pPr>
              <w:numPr>
                <w:ilvl w:val="0"/>
                <w:numId w:val="9"/>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aðrir liðir með litla áhættu.</w:t>
            </w:r>
          </w:p>
          <w:p w:rsidR="008317D6" w:rsidRPr="00447F64" w:rsidRDefault="008317D6" w:rsidP="00E738BF">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9. gr.</w:t>
            </w:r>
          </w:p>
          <w:p w:rsidR="008317D6" w:rsidRPr="00447F64" w:rsidRDefault="008317D6" w:rsidP="00E738BF">
            <w:pPr>
              <w:spacing w:before="100" w:beforeAutospacing="1" w:after="100" w:afterAutospacing="1" w:line="240" w:lineRule="auto"/>
              <w:jc w:val="center"/>
              <w:rPr>
                <w:rFonts w:ascii="Arial" w:eastAsia="Times New Roman" w:hAnsi="Arial" w:cs="Arial"/>
                <w:i/>
                <w:iCs/>
                <w:sz w:val="24"/>
                <w:szCs w:val="24"/>
                <w:lang w:eastAsia="is-IS"/>
              </w:rPr>
            </w:pPr>
            <w:r w:rsidRPr="00447F64">
              <w:rPr>
                <w:rFonts w:ascii="Arial" w:eastAsia="Times New Roman" w:hAnsi="Arial" w:cs="Arial"/>
                <w:i/>
                <w:iCs/>
                <w:sz w:val="24"/>
                <w:szCs w:val="24"/>
                <w:lang w:eastAsia="is-IS"/>
              </w:rPr>
              <w:t>Flokkun liða utan efnahags.</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Liðir utan efnahagsreiknings skulu flokkast samkvæmt neðangreindu. Þeir skulu metnir með hliðsjón af þeim aðferðum sem lýst er í viðauka III skv. 55. gr. A. Fjármálafyrirtæki skal lýsa því yfir við Fjármálaeftirlitið hvaða aðferð það hyggst nota en rökstyðja breytingar sem síðar kunna að verða á þeirri ákvörðun. Fyrirtæki geta þó sótt um sérstakt leyfi Fjármálaeftirlitsins til þess að nota matsaðferð byggða á eigin líkönum (IMM). Sérstakar reglur gilda um það.</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Meta skal áhrif skuldskeytingar og annarrar samningsbundinnar skuldajöfnunar eins og lýst er í viðauka III. Afleiður sem tilgreindar eru í 3. tölulið er ekki heimilt að meta með hliðsjón af upprunalegri áhættu. </w:t>
            </w:r>
          </w:p>
          <w:p w:rsidR="008317D6" w:rsidRPr="00447F64" w:rsidRDefault="008317D6" w:rsidP="00447F64">
            <w:pPr>
              <w:spacing w:before="100" w:beforeAutospacing="1" w:after="100" w:afterAutospacing="1" w:line="240" w:lineRule="auto"/>
              <w:jc w:val="both"/>
              <w:rPr>
                <w:rFonts w:ascii="Arial" w:eastAsia="Times New Roman" w:hAnsi="Arial" w:cs="Arial"/>
                <w:i/>
                <w:iCs/>
                <w:sz w:val="24"/>
                <w:szCs w:val="24"/>
                <w:lang w:eastAsia="is-IS"/>
              </w:rPr>
            </w:pPr>
            <w:r w:rsidRPr="00447F64">
              <w:rPr>
                <w:rFonts w:ascii="Arial" w:eastAsia="Times New Roman" w:hAnsi="Arial" w:cs="Arial"/>
                <w:i/>
                <w:iCs/>
                <w:sz w:val="24"/>
                <w:szCs w:val="24"/>
                <w:lang w:eastAsia="is-IS"/>
              </w:rPr>
              <w:t>1. Vaxtasamningar:</w:t>
            </w:r>
          </w:p>
          <w:p w:rsidR="008317D6" w:rsidRPr="00447F64" w:rsidRDefault="008317D6" w:rsidP="00447F64">
            <w:pPr>
              <w:numPr>
                <w:ilvl w:val="0"/>
                <w:numId w:val="10"/>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Vaxtaskipti innan sama gjaldmiðils, </w:t>
            </w:r>
          </w:p>
          <w:p w:rsidR="008317D6" w:rsidRPr="00447F64" w:rsidRDefault="008317D6" w:rsidP="00447F64">
            <w:pPr>
              <w:numPr>
                <w:ilvl w:val="0"/>
                <w:numId w:val="10"/>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grunn vaxtaskiptasamningar, </w:t>
            </w:r>
          </w:p>
          <w:p w:rsidR="008317D6" w:rsidRPr="00447F64" w:rsidRDefault="008317D6" w:rsidP="00447F64">
            <w:pPr>
              <w:numPr>
                <w:ilvl w:val="0"/>
                <w:numId w:val="10"/>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lastRenderedPageBreak/>
              <w:t xml:space="preserve">framvirkir vaxtasamningar, </w:t>
            </w:r>
          </w:p>
          <w:p w:rsidR="008317D6" w:rsidRPr="00447F64" w:rsidRDefault="008317D6" w:rsidP="00447F64">
            <w:pPr>
              <w:numPr>
                <w:ilvl w:val="0"/>
                <w:numId w:val="10"/>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staðlaðir framvirkir vaxtasamningar, </w:t>
            </w:r>
          </w:p>
          <w:p w:rsidR="008317D6" w:rsidRPr="00447F64" w:rsidRDefault="008317D6" w:rsidP="00447F64">
            <w:pPr>
              <w:numPr>
                <w:ilvl w:val="0"/>
                <w:numId w:val="10"/>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keyptur valréttur að vöxtum, og </w:t>
            </w:r>
          </w:p>
          <w:p w:rsidR="008317D6" w:rsidRPr="00447F64" w:rsidRDefault="008317D6" w:rsidP="00447F64">
            <w:pPr>
              <w:numPr>
                <w:ilvl w:val="0"/>
                <w:numId w:val="10"/>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aðrir svipaðir samningar.</w:t>
            </w:r>
          </w:p>
          <w:p w:rsidR="008317D6" w:rsidRPr="00447F64" w:rsidRDefault="008317D6" w:rsidP="00447F64">
            <w:pPr>
              <w:spacing w:before="100" w:beforeAutospacing="1" w:after="100" w:afterAutospacing="1" w:line="240" w:lineRule="auto"/>
              <w:jc w:val="both"/>
              <w:rPr>
                <w:rFonts w:ascii="Arial" w:eastAsia="Times New Roman" w:hAnsi="Arial" w:cs="Arial"/>
                <w:i/>
                <w:iCs/>
                <w:sz w:val="24"/>
                <w:szCs w:val="24"/>
                <w:lang w:eastAsia="is-IS"/>
              </w:rPr>
            </w:pPr>
            <w:r w:rsidRPr="00447F64">
              <w:rPr>
                <w:rFonts w:ascii="Arial" w:eastAsia="Times New Roman" w:hAnsi="Arial" w:cs="Arial"/>
                <w:i/>
                <w:iCs/>
                <w:sz w:val="24"/>
                <w:szCs w:val="24"/>
                <w:lang w:eastAsia="is-IS"/>
              </w:rPr>
              <w:t>2. Gjaldmiðlasamningar og samningar varðandi gull:</w:t>
            </w:r>
          </w:p>
          <w:p w:rsidR="008317D6" w:rsidRPr="00447F64" w:rsidRDefault="008317D6" w:rsidP="00447F64">
            <w:pPr>
              <w:numPr>
                <w:ilvl w:val="0"/>
                <w:numId w:val="11"/>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Vaxtaskipti á milli gjaldmiðla, </w:t>
            </w:r>
          </w:p>
          <w:p w:rsidR="008317D6" w:rsidRPr="00447F64" w:rsidRDefault="008317D6" w:rsidP="00447F64">
            <w:pPr>
              <w:numPr>
                <w:ilvl w:val="0"/>
                <w:numId w:val="11"/>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framvirkir gjaldmiðlasamningar, </w:t>
            </w:r>
          </w:p>
          <w:p w:rsidR="008317D6" w:rsidRPr="00447F64" w:rsidRDefault="008317D6" w:rsidP="00447F64">
            <w:pPr>
              <w:numPr>
                <w:ilvl w:val="0"/>
                <w:numId w:val="11"/>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staðlaðir framvirkir gjaldmiðlasamningar, </w:t>
            </w:r>
          </w:p>
          <w:p w:rsidR="008317D6" w:rsidRPr="00447F64" w:rsidRDefault="008317D6" w:rsidP="00447F64">
            <w:pPr>
              <w:numPr>
                <w:ilvl w:val="0"/>
                <w:numId w:val="11"/>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keyptur valréttur að erlendum gjaldeyri, </w:t>
            </w:r>
          </w:p>
          <w:p w:rsidR="008317D6" w:rsidRPr="00447F64" w:rsidRDefault="008317D6" w:rsidP="00447F64">
            <w:pPr>
              <w:numPr>
                <w:ilvl w:val="0"/>
                <w:numId w:val="11"/>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aðrir svipaðir samningar, og </w:t>
            </w:r>
          </w:p>
          <w:p w:rsidR="008317D6" w:rsidRPr="00447F64" w:rsidRDefault="008317D6" w:rsidP="00447F64">
            <w:pPr>
              <w:numPr>
                <w:ilvl w:val="0"/>
                <w:numId w:val="11"/>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samningar er varða gull, í eðli sínu svipaðir þeim sem um getur í a. til e. lið.</w:t>
            </w:r>
          </w:p>
          <w:p w:rsidR="008317D6" w:rsidRPr="00447F64" w:rsidRDefault="008317D6" w:rsidP="00447F64">
            <w:pPr>
              <w:spacing w:before="100" w:beforeAutospacing="1" w:after="100" w:afterAutospacing="1" w:line="240" w:lineRule="auto"/>
              <w:jc w:val="both"/>
              <w:rPr>
                <w:rFonts w:ascii="Arial" w:eastAsia="Times New Roman" w:hAnsi="Arial" w:cs="Arial"/>
                <w:i/>
                <w:iCs/>
                <w:sz w:val="24"/>
                <w:szCs w:val="24"/>
                <w:lang w:eastAsia="is-IS"/>
              </w:rPr>
            </w:pPr>
            <w:r w:rsidRPr="00447F64">
              <w:rPr>
                <w:rFonts w:ascii="Arial" w:eastAsia="Times New Roman" w:hAnsi="Arial" w:cs="Arial"/>
                <w:i/>
                <w:iCs/>
                <w:sz w:val="24"/>
                <w:szCs w:val="24"/>
                <w:lang w:eastAsia="is-IS"/>
              </w:rPr>
              <w:t xml:space="preserve">3. Samningar sem eru í eðli sínu svipaðir þeim sem um getur í stafliðum a. til e. í 1. </w:t>
            </w:r>
            <w:proofErr w:type="spellStart"/>
            <w:r w:rsidRPr="00447F64">
              <w:rPr>
                <w:rFonts w:ascii="Arial" w:eastAsia="Times New Roman" w:hAnsi="Arial" w:cs="Arial"/>
                <w:i/>
                <w:iCs/>
                <w:sz w:val="24"/>
                <w:szCs w:val="24"/>
                <w:lang w:eastAsia="is-IS"/>
              </w:rPr>
              <w:t>tl</w:t>
            </w:r>
            <w:proofErr w:type="spellEnd"/>
            <w:r w:rsidRPr="00447F64">
              <w:rPr>
                <w:rFonts w:ascii="Arial" w:eastAsia="Times New Roman" w:hAnsi="Arial" w:cs="Arial"/>
                <w:i/>
                <w:iCs/>
                <w:sz w:val="24"/>
                <w:szCs w:val="24"/>
                <w:lang w:eastAsia="is-IS"/>
              </w:rPr>
              <w:t xml:space="preserve">. og stafliðum a. til d. í 2. </w:t>
            </w:r>
            <w:proofErr w:type="spellStart"/>
            <w:r w:rsidRPr="00447F64">
              <w:rPr>
                <w:rFonts w:ascii="Arial" w:eastAsia="Times New Roman" w:hAnsi="Arial" w:cs="Arial"/>
                <w:i/>
                <w:iCs/>
                <w:sz w:val="24"/>
                <w:szCs w:val="24"/>
                <w:lang w:eastAsia="is-IS"/>
              </w:rPr>
              <w:t>tl</w:t>
            </w:r>
            <w:proofErr w:type="spellEnd"/>
            <w:r w:rsidRPr="00447F64">
              <w:rPr>
                <w:rFonts w:ascii="Arial" w:eastAsia="Times New Roman" w:hAnsi="Arial" w:cs="Arial"/>
                <w:i/>
                <w:iCs/>
                <w:sz w:val="24"/>
                <w:szCs w:val="24"/>
                <w:lang w:eastAsia="is-IS"/>
              </w:rPr>
              <w:t>., en miðast við aðra viðmiðunarliði eða vísitölur er varða:</w:t>
            </w:r>
          </w:p>
          <w:p w:rsidR="008317D6" w:rsidRPr="00447F64" w:rsidRDefault="008317D6" w:rsidP="00447F64">
            <w:pPr>
              <w:numPr>
                <w:ilvl w:val="0"/>
                <w:numId w:val="12"/>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Hlutabréf, </w:t>
            </w:r>
          </w:p>
          <w:p w:rsidR="008317D6" w:rsidRPr="00447F64" w:rsidRDefault="008317D6" w:rsidP="00447F64">
            <w:pPr>
              <w:numPr>
                <w:ilvl w:val="0"/>
                <w:numId w:val="12"/>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góðmálma, að gulli undanskildu, </w:t>
            </w:r>
          </w:p>
          <w:p w:rsidR="008317D6" w:rsidRPr="00447F64" w:rsidRDefault="008317D6" w:rsidP="00447F64">
            <w:pPr>
              <w:numPr>
                <w:ilvl w:val="0"/>
                <w:numId w:val="12"/>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aðrar hrávörur en góðmálma, og </w:t>
            </w:r>
          </w:p>
          <w:p w:rsidR="008317D6" w:rsidRPr="00447F64" w:rsidRDefault="008317D6" w:rsidP="00447F64">
            <w:pPr>
              <w:numPr>
                <w:ilvl w:val="0"/>
                <w:numId w:val="12"/>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aðra eðlislíka samninga.</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Afleiðusamningar sem eru bæði með vaxta- og gjaldmiðlaviðmiðanir skulu flokkast sem gjaldmiðlasamningar við útreikning á áhættuvegnum áhættuskuldbindingum.</w:t>
            </w:r>
          </w:p>
          <w:p w:rsidR="008317D6" w:rsidRPr="00447F64" w:rsidRDefault="008317D6" w:rsidP="00E738BF">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10. gr.</w:t>
            </w:r>
          </w:p>
          <w:p w:rsidR="008317D6" w:rsidRPr="00447F64" w:rsidRDefault="008317D6" w:rsidP="00E738BF">
            <w:pPr>
              <w:spacing w:before="100" w:beforeAutospacing="1" w:after="100" w:afterAutospacing="1" w:line="240" w:lineRule="auto"/>
              <w:jc w:val="center"/>
              <w:rPr>
                <w:rFonts w:ascii="Arial" w:eastAsia="Times New Roman" w:hAnsi="Arial" w:cs="Arial"/>
                <w:i/>
                <w:iCs/>
                <w:sz w:val="24"/>
                <w:szCs w:val="24"/>
                <w:lang w:eastAsia="is-IS"/>
              </w:rPr>
            </w:pPr>
            <w:r w:rsidRPr="00447F64">
              <w:rPr>
                <w:rFonts w:ascii="Arial" w:eastAsia="Times New Roman" w:hAnsi="Arial" w:cs="Arial"/>
                <w:i/>
                <w:iCs/>
                <w:sz w:val="24"/>
                <w:szCs w:val="24"/>
                <w:lang w:eastAsia="is-IS"/>
              </w:rPr>
              <w:t>Flokkun áhættuskuldbindinga.</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Sérhverja áhættuskuldbindingu skal flokka í einhverja af eftirfarandi tegundum áhættuskuldbindinga:</w:t>
            </w:r>
          </w:p>
          <w:p w:rsidR="008317D6" w:rsidRPr="00447F64" w:rsidRDefault="008317D6" w:rsidP="00447F64">
            <w:pPr>
              <w:numPr>
                <w:ilvl w:val="0"/>
                <w:numId w:val="13"/>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Eignaliður sem er áhættukrafa á eða með ábyrgð ríkja og seðlabanka, </w:t>
            </w:r>
          </w:p>
          <w:p w:rsidR="008317D6" w:rsidRPr="00447F64" w:rsidRDefault="008317D6" w:rsidP="00447F64">
            <w:pPr>
              <w:numPr>
                <w:ilvl w:val="0"/>
                <w:numId w:val="13"/>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eignaliður sem er áhættukrafa á eða með ábyrgð héraðs- og sveitarstjórna, </w:t>
            </w:r>
          </w:p>
          <w:p w:rsidR="008317D6" w:rsidRPr="00447F64" w:rsidRDefault="00C23FF4" w:rsidP="00447F64">
            <w:pPr>
              <w:numPr>
                <w:ilvl w:val="0"/>
                <w:numId w:val="13"/>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hAnsi="Arial" w:cs="Arial"/>
                <w:sz w:val="24"/>
                <w:szCs w:val="24"/>
              </w:rPr>
              <w:t>[</w:t>
            </w:r>
            <w:r w:rsidR="008317D6" w:rsidRPr="00447F64">
              <w:rPr>
                <w:rFonts w:ascii="Arial" w:hAnsi="Arial" w:cs="Arial"/>
                <w:sz w:val="24"/>
                <w:szCs w:val="24"/>
              </w:rPr>
              <w:t>eignaliður sem er áhættukrafa á eða með ábyrgð opinberrar stofnunar og fyrirtækja sem rekin eru með öðrum markmiðum en að hámarka hagnað</w:t>
            </w:r>
            <w:r w:rsidR="008317D6" w:rsidRPr="00447F64">
              <w:rPr>
                <w:rFonts w:ascii="Arial" w:eastAsia="Times New Roman" w:hAnsi="Arial" w:cs="Arial"/>
                <w:sz w:val="24"/>
                <w:szCs w:val="24"/>
                <w:lang w:eastAsia="is-IS"/>
              </w:rPr>
              <w:t>,</w:t>
            </w:r>
            <w:r w:rsidRPr="00447F64">
              <w:rPr>
                <w:rFonts w:ascii="Arial" w:eastAsia="Times New Roman" w:hAnsi="Arial" w:cs="Arial"/>
                <w:sz w:val="24"/>
                <w:szCs w:val="24"/>
                <w:lang w:eastAsia="is-IS"/>
              </w:rPr>
              <w:t>]</w:t>
            </w:r>
            <w:r w:rsidRPr="00447F64">
              <w:rPr>
                <w:rStyle w:val="FootnoteReference"/>
                <w:rFonts w:ascii="Arial" w:eastAsia="Times New Roman" w:hAnsi="Arial" w:cs="Arial"/>
                <w:sz w:val="24"/>
                <w:szCs w:val="24"/>
                <w:lang w:eastAsia="is-IS"/>
              </w:rPr>
              <w:footnoteReference w:id="12"/>
            </w:r>
            <w:r w:rsidR="008317D6" w:rsidRPr="00447F64">
              <w:rPr>
                <w:rFonts w:ascii="Arial" w:eastAsia="Times New Roman" w:hAnsi="Arial" w:cs="Arial"/>
                <w:sz w:val="24"/>
                <w:szCs w:val="24"/>
                <w:lang w:eastAsia="is-IS"/>
              </w:rPr>
              <w:t xml:space="preserve"> </w:t>
            </w:r>
          </w:p>
          <w:p w:rsidR="008317D6" w:rsidRPr="00447F64" w:rsidRDefault="008317D6" w:rsidP="00447F64">
            <w:pPr>
              <w:numPr>
                <w:ilvl w:val="0"/>
                <w:numId w:val="13"/>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eignaliður sem er áhættukrafa á eða með ábyrgð fjölþjóða þróunarbanka, </w:t>
            </w:r>
          </w:p>
          <w:p w:rsidR="008317D6" w:rsidRPr="00447F64" w:rsidRDefault="008317D6" w:rsidP="00447F64">
            <w:pPr>
              <w:numPr>
                <w:ilvl w:val="0"/>
                <w:numId w:val="13"/>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eignaliður sem er áhættukrafa á eða með ábyrgð alþjóðastofnana, </w:t>
            </w:r>
          </w:p>
          <w:p w:rsidR="008317D6" w:rsidRPr="00447F64" w:rsidRDefault="008317D6" w:rsidP="00447F64">
            <w:pPr>
              <w:numPr>
                <w:ilvl w:val="0"/>
                <w:numId w:val="13"/>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eignaliður sem er áhættukrafa á eða með ábyrgð fjármálafyrirtækis, </w:t>
            </w:r>
          </w:p>
          <w:p w:rsidR="008317D6" w:rsidRPr="00447F64" w:rsidRDefault="008317D6" w:rsidP="00447F64">
            <w:pPr>
              <w:numPr>
                <w:ilvl w:val="0"/>
                <w:numId w:val="13"/>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eignaliður sem er áhættukrafa á eða með ábyrgð fyrirtækja, </w:t>
            </w:r>
          </w:p>
          <w:p w:rsidR="008317D6" w:rsidRPr="00447F64" w:rsidRDefault="008317D6" w:rsidP="00447F64">
            <w:pPr>
              <w:numPr>
                <w:ilvl w:val="0"/>
                <w:numId w:val="13"/>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eignaliður sem er áhættukrafa á eða með ábyrgð einstaklinga og lítilla og meðalstórra fyrirtækja (smásölu áhættuskuldbindingar), </w:t>
            </w:r>
          </w:p>
          <w:p w:rsidR="008317D6" w:rsidRPr="00447F64" w:rsidRDefault="008317D6" w:rsidP="00447F64">
            <w:pPr>
              <w:numPr>
                <w:ilvl w:val="0"/>
                <w:numId w:val="13"/>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eignaliður sem er áhættukrafa tryggð með fasteignaveði, </w:t>
            </w:r>
          </w:p>
          <w:p w:rsidR="008317D6" w:rsidRPr="00447F64" w:rsidRDefault="008317D6" w:rsidP="00447F64">
            <w:pPr>
              <w:numPr>
                <w:ilvl w:val="0"/>
                <w:numId w:val="13"/>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lastRenderedPageBreak/>
              <w:t xml:space="preserve">vanskil, </w:t>
            </w:r>
          </w:p>
          <w:p w:rsidR="008317D6" w:rsidRPr="00447F64" w:rsidRDefault="008317D6" w:rsidP="00447F64">
            <w:pPr>
              <w:numPr>
                <w:ilvl w:val="0"/>
                <w:numId w:val="13"/>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eignaliðir í skilgreindum háum áhættuflokkum, </w:t>
            </w:r>
          </w:p>
          <w:p w:rsidR="008317D6" w:rsidRPr="00447F64" w:rsidRDefault="008317D6" w:rsidP="00447F64">
            <w:pPr>
              <w:numPr>
                <w:ilvl w:val="0"/>
                <w:numId w:val="13"/>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eignaliðir sem eru sértryggð skuldabréf, </w:t>
            </w:r>
          </w:p>
          <w:p w:rsidR="008317D6" w:rsidRPr="00447F64" w:rsidRDefault="008317D6" w:rsidP="00447F64">
            <w:pPr>
              <w:numPr>
                <w:ilvl w:val="0"/>
                <w:numId w:val="13"/>
              </w:numPr>
              <w:spacing w:before="100" w:beforeAutospacing="1" w:after="100" w:afterAutospacing="1" w:line="240" w:lineRule="auto"/>
              <w:jc w:val="both"/>
              <w:rPr>
                <w:rFonts w:ascii="Arial" w:eastAsia="Times New Roman" w:hAnsi="Arial" w:cs="Arial"/>
                <w:sz w:val="24"/>
                <w:szCs w:val="24"/>
                <w:lang w:eastAsia="is-IS"/>
              </w:rPr>
            </w:pPr>
            <w:proofErr w:type="spellStart"/>
            <w:r w:rsidRPr="00447F64">
              <w:rPr>
                <w:rFonts w:ascii="Arial" w:eastAsia="Times New Roman" w:hAnsi="Arial" w:cs="Arial"/>
                <w:sz w:val="24"/>
                <w:szCs w:val="24"/>
                <w:lang w:eastAsia="is-IS"/>
              </w:rPr>
              <w:t>verðbréfaðar</w:t>
            </w:r>
            <w:proofErr w:type="spellEnd"/>
            <w:r w:rsidRPr="00447F64">
              <w:rPr>
                <w:rFonts w:ascii="Arial" w:eastAsia="Times New Roman" w:hAnsi="Arial" w:cs="Arial"/>
                <w:sz w:val="24"/>
                <w:szCs w:val="24"/>
                <w:lang w:eastAsia="is-IS"/>
              </w:rPr>
              <w:t xml:space="preserve"> stöður, </w:t>
            </w:r>
          </w:p>
          <w:p w:rsidR="008317D6" w:rsidRPr="00447F64" w:rsidRDefault="008317D6" w:rsidP="00447F64">
            <w:pPr>
              <w:numPr>
                <w:ilvl w:val="0"/>
                <w:numId w:val="13"/>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skammtíma áhættuskuldbindingar gagnvart lánastofnunum og fyrirtækjum, </w:t>
            </w:r>
          </w:p>
          <w:p w:rsidR="008317D6" w:rsidRPr="00447F64" w:rsidRDefault="00C23FF4" w:rsidP="00447F64">
            <w:pPr>
              <w:numPr>
                <w:ilvl w:val="0"/>
                <w:numId w:val="13"/>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w:t>
            </w:r>
            <w:r w:rsidR="008317D6" w:rsidRPr="00447F64">
              <w:rPr>
                <w:rFonts w:ascii="Arial" w:eastAsia="Times New Roman" w:hAnsi="Arial" w:cs="Arial"/>
                <w:sz w:val="24"/>
                <w:szCs w:val="24"/>
                <w:lang w:eastAsia="is-IS"/>
              </w:rPr>
              <w:t>sjóðir</w:t>
            </w:r>
            <w:r w:rsidR="00786B63" w:rsidRPr="00447F64">
              <w:rPr>
                <w:rFonts w:ascii="Arial" w:eastAsia="Times New Roman" w:hAnsi="Arial" w:cs="Arial"/>
                <w:sz w:val="24"/>
                <w:szCs w:val="24"/>
                <w:lang w:eastAsia="is-IS"/>
              </w:rPr>
              <w:t xml:space="preserve"> um sameiginlega fjárfestingu</w:t>
            </w:r>
            <w:r w:rsidRPr="00447F64">
              <w:rPr>
                <w:rFonts w:ascii="Arial" w:eastAsia="Times New Roman" w:hAnsi="Arial" w:cs="Arial"/>
                <w:sz w:val="24"/>
                <w:szCs w:val="24"/>
                <w:lang w:eastAsia="is-IS"/>
              </w:rPr>
              <w:t>]</w:t>
            </w:r>
            <w:r w:rsidRPr="00447F64">
              <w:rPr>
                <w:rStyle w:val="FootnoteReference"/>
                <w:rFonts w:ascii="Arial" w:eastAsia="Times New Roman" w:hAnsi="Arial" w:cs="Arial"/>
                <w:sz w:val="24"/>
                <w:szCs w:val="24"/>
                <w:lang w:eastAsia="is-IS"/>
              </w:rPr>
              <w:footnoteReference w:id="13"/>
            </w:r>
            <w:r w:rsidR="008317D6" w:rsidRPr="00447F64">
              <w:rPr>
                <w:rFonts w:ascii="Arial" w:eastAsia="Times New Roman" w:hAnsi="Arial" w:cs="Arial"/>
                <w:sz w:val="24"/>
                <w:szCs w:val="24"/>
                <w:lang w:eastAsia="is-IS"/>
              </w:rPr>
              <w:t xml:space="preserve">, </w:t>
            </w:r>
          </w:p>
          <w:p w:rsidR="008317D6" w:rsidRPr="00447F64" w:rsidRDefault="008317D6" w:rsidP="00447F64">
            <w:pPr>
              <w:numPr>
                <w:ilvl w:val="0"/>
                <w:numId w:val="13"/>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aðrar áhættuskuldbindingar.</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Áhættuvog skal vera 100% nema annað leiði af ákvæðum þessa kafla. Áhættuvog getur lækkað vegna ábyrgða og trygginga, sbr. VII. kafla.</w:t>
            </w:r>
          </w:p>
          <w:p w:rsidR="008317D6" w:rsidRPr="00447F64" w:rsidRDefault="008317D6" w:rsidP="00E738BF">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11. gr.</w:t>
            </w:r>
          </w:p>
          <w:p w:rsidR="008317D6" w:rsidRPr="00447F64" w:rsidRDefault="008317D6" w:rsidP="00E738BF">
            <w:pPr>
              <w:spacing w:before="100" w:beforeAutospacing="1" w:after="100" w:afterAutospacing="1" w:line="240" w:lineRule="auto"/>
              <w:jc w:val="center"/>
              <w:rPr>
                <w:rFonts w:ascii="Arial" w:eastAsia="Times New Roman" w:hAnsi="Arial" w:cs="Arial"/>
                <w:i/>
                <w:iCs/>
                <w:sz w:val="24"/>
                <w:szCs w:val="24"/>
                <w:lang w:eastAsia="is-IS"/>
              </w:rPr>
            </w:pPr>
            <w:r w:rsidRPr="00447F64">
              <w:rPr>
                <w:rFonts w:ascii="Arial" w:eastAsia="Times New Roman" w:hAnsi="Arial" w:cs="Arial"/>
                <w:i/>
                <w:iCs/>
                <w:sz w:val="24"/>
                <w:szCs w:val="24"/>
                <w:lang w:eastAsia="is-IS"/>
              </w:rPr>
              <w:t>Ríki og seðlabankar.</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Áhættuskuldbindingar ríkja og seðlabanka (tegund a.) hafa áhættuvog 100% nema kveðið sé á um annað í þessari grein.</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Áhættuvog ríkja og seðlabanka sem hafa lánshæfismat frá matsfyrirtæki sem Fjármálaeftirlitið hefur viðurkennt </w:t>
            </w:r>
            <w:r w:rsidR="00B576B9" w:rsidRPr="00447F64">
              <w:rPr>
                <w:rFonts w:ascii="Arial" w:eastAsia="Times New Roman" w:hAnsi="Arial" w:cs="Arial"/>
                <w:sz w:val="24"/>
                <w:szCs w:val="24"/>
                <w:lang w:eastAsia="is-IS"/>
              </w:rPr>
              <w:t>[</w:t>
            </w:r>
            <w:r w:rsidR="00786B63" w:rsidRPr="00447F64">
              <w:rPr>
                <w:rFonts w:ascii="Arial" w:eastAsia="Times New Roman" w:hAnsi="Arial" w:cs="Arial"/>
                <w:sz w:val="24"/>
                <w:szCs w:val="24"/>
                <w:lang w:eastAsia="is-IS"/>
              </w:rPr>
              <w:t>skal</w:t>
            </w:r>
            <w:r w:rsidR="00B576B9" w:rsidRPr="00447F64">
              <w:rPr>
                <w:rFonts w:ascii="Arial" w:eastAsia="Times New Roman" w:hAnsi="Arial" w:cs="Arial"/>
                <w:sz w:val="24"/>
                <w:szCs w:val="24"/>
                <w:lang w:eastAsia="is-IS"/>
              </w:rPr>
              <w:t>]</w:t>
            </w:r>
            <w:r w:rsidR="00B576B9" w:rsidRPr="00447F64">
              <w:rPr>
                <w:rStyle w:val="FootnoteReference"/>
                <w:rFonts w:ascii="Arial" w:eastAsia="Times New Roman" w:hAnsi="Arial" w:cs="Arial"/>
                <w:sz w:val="24"/>
                <w:szCs w:val="24"/>
                <w:lang w:eastAsia="is-IS"/>
              </w:rPr>
              <w:footnoteReference w:id="14"/>
            </w:r>
            <w:r w:rsidRPr="00447F64">
              <w:rPr>
                <w:rFonts w:ascii="Arial" w:eastAsia="Times New Roman" w:hAnsi="Arial" w:cs="Arial"/>
                <w:sz w:val="24"/>
                <w:szCs w:val="24"/>
                <w:lang w:eastAsia="is-IS"/>
              </w:rPr>
              <w:t xml:space="preserve"> vera eins og sýnt er í eftirfarandi töflu:</w:t>
            </w:r>
          </w:p>
          <w:p w:rsidR="008317D6" w:rsidRPr="00447F64" w:rsidRDefault="008317D6" w:rsidP="00447F64">
            <w:pPr>
              <w:spacing w:before="100" w:beforeAutospacing="1" w:after="100" w:afterAutospacing="1" w:line="240" w:lineRule="auto"/>
              <w:jc w:val="both"/>
              <w:rPr>
                <w:rFonts w:ascii="Arial" w:eastAsia="Times New Roman" w:hAnsi="Arial" w:cs="Arial"/>
                <w:b/>
                <w:bCs/>
                <w:sz w:val="24"/>
                <w:szCs w:val="24"/>
                <w:lang w:eastAsia="is-IS"/>
              </w:rPr>
            </w:pPr>
            <w:r w:rsidRPr="00447F64">
              <w:rPr>
                <w:rFonts w:ascii="Arial" w:eastAsia="Times New Roman" w:hAnsi="Arial" w:cs="Arial"/>
                <w:b/>
                <w:bCs/>
                <w:sz w:val="24"/>
                <w:szCs w:val="24"/>
                <w:lang w:eastAsia="is-IS"/>
              </w:rPr>
              <w:t>Ríki og seðlabankar</w:t>
            </w:r>
          </w:p>
          <w:tbl>
            <w:tblPr>
              <w:tblW w:w="748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18"/>
              <w:gridCol w:w="973"/>
              <w:gridCol w:w="972"/>
              <w:gridCol w:w="972"/>
              <w:gridCol w:w="972"/>
              <w:gridCol w:w="972"/>
              <w:gridCol w:w="906"/>
            </w:tblGrid>
            <w:tr w:rsidR="008317D6" w:rsidRPr="00447F64">
              <w:trPr>
                <w:tblCellSpacing w:w="7" w:type="dxa"/>
              </w:trPr>
              <w:tc>
                <w:tcPr>
                  <w:tcW w:w="11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Þrep útlánagæða</w:t>
                  </w:r>
                </w:p>
              </w:tc>
              <w:tc>
                <w:tcPr>
                  <w:tcW w:w="6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1</w:t>
                  </w:r>
                </w:p>
              </w:tc>
              <w:tc>
                <w:tcPr>
                  <w:tcW w:w="6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2</w:t>
                  </w:r>
                </w:p>
              </w:tc>
              <w:tc>
                <w:tcPr>
                  <w:tcW w:w="6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3</w:t>
                  </w:r>
                </w:p>
              </w:tc>
              <w:tc>
                <w:tcPr>
                  <w:tcW w:w="6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4</w:t>
                  </w:r>
                </w:p>
              </w:tc>
              <w:tc>
                <w:tcPr>
                  <w:tcW w:w="6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5</w:t>
                  </w:r>
                </w:p>
              </w:tc>
              <w:tc>
                <w:tcPr>
                  <w:tcW w:w="6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6</w:t>
                  </w:r>
                </w:p>
              </w:tc>
            </w:tr>
            <w:tr w:rsidR="008317D6" w:rsidRPr="00447F64">
              <w:trPr>
                <w:tblCellSpacing w:w="7" w:type="dxa"/>
              </w:trPr>
              <w:tc>
                <w:tcPr>
                  <w:tcW w:w="11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Áhættuvog</w:t>
                  </w:r>
                </w:p>
              </w:tc>
              <w:tc>
                <w:tcPr>
                  <w:tcW w:w="6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0%</w:t>
                  </w:r>
                </w:p>
              </w:tc>
              <w:tc>
                <w:tcPr>
                  <w:tcW w:w="6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20%</w:t>
                  </w:r>
                </w:p>
              </w:tc>
              <w:tc>
                <w:tcPr>
                  <w:tcW w:w="6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50%</w:t>
                  </w:r>
                </w:p>
              </w:tc>
              <w:tc>
                <w:tcPr>
                  <w:tcW w:w="6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100%</w:t>
                  </w:r>
                </w:p>
              </w:tc>
              <w:tc>
                <w:tcPr>
                  <w:tcW w:w="6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100%</w:t>
                  </w:r>
                </w:p>
              </w:tc>
              <w:tc>
                <w:tcPr>
                  <w:tcW w:w="6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150%</w:t>
                  </w:r>
                </w:p>
              </w:tc>
            </w:tr>
          </w:tbl>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Áhættuskuldbindingar ríkja og seðlabanka aðildarríkja EES, sem gefnar eru út og fjármagnaðar í heimamynt ríkisins, hafa áhættuvogina 0%. Sama gildir um Seðlabanka Evrópu. Heimili eftirlitsstjórnvöld í ríki utan EES lægri áhættuvog en leiðir af 1. og 2. mgr. á áhættuskuldbindingar þess ríkis, getur Fjármálaeftirlitið ákveðið að nota megi þá áhættuvog þegar þessum reglum er beitt, enda séu reglur og eftirlit í því ríki hliðstæð því sem er innan EES.</w:t>
            </w:r>
          </w:p>
          <w:p w:rsidR="008317D6" w:rsidRPr="00447F64" w:rsidRDefault="008317D6" w:rsidP="00E738BF">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12. gr.</w:t>
            </w:r>
          </w:p>
          <w:p w:rsidR="008317D6" w:rsidRPr="00447F64" w:rsidRDefault="00B576B9" w:rsidP="00E738BF">
            <w:pPr>
              <w:spacing w:before="100" w:beforeAutospacing="1" w:after="100" w:afterAutospacing="1" w:line="240" w:lineRule="auto"/>
              <w:jc w:val="center"/>
              <w:rPr>
                <w:rFonts w:ascii="Arial" w:eastAsia="Times New Roman" w:hAnsi="Arial" w:cs="Arial"/>
                <w:i/>
                <w:iCs/>
                <w:sz w:val="24"/>
                <w:szCs w:val="24"/>
                <w:lang w:eastAsia="is-IS"/>
              </w:rPr>
            </w:pPr>
            <w:r w:rsidRPr="00447F64">
              <w:rPr>
                <w:rFonts w:ascii="Arial" w:eastAsia="Times New Roman" w:hAnsi="Arial" w:cs="Arial"/>
                <w:iCs/>
                <w:sz w:val="24"/>
                <w:szCs w:val="24"/>
                <w:lang w:eastAsia="is-IS"/>
              </w:rPr>
              <w:t>[</w:t>
            </w:r>
            <w:r w:rsidR="008317D6" w:rsidRPr="00447F64">
              <w:rPr>
                <w:rFonts w:ascii="Arial" w:eastAsia="Times New Roman" w:hAnsi="Arial" w:cs="Arial"/>
                <w:i/>
                <w:iCs/>
                <w:sz w:val="24"/>
                <w:szCs w:val="24"/>
                <w:lang w:eastAsia="is-IS"/>
              </w:rPr>
              <w:t>Héraðs- og sveitarstjórnir.</w:t>
            </w:r>
          </w:p>
          <w:p w:rsidR="00786B63" w:rsidRPr="00447F64" w:rsidRDefault="00786B63"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Áhættuskuldbindingar héraðs- og sveitarstjórna (tegund b.) hafa sömu áhættuvog og áhættuskuldbindingar fjármálafyrirtækja nema kveðið sé á um annað í þessari grein.</w:t>
            </w:r>
          </w:p>
          <w:p w:rsidR="00786B63" w:rsidRPr="00447F64" w:rsidRDefault="00786B63"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Áhættuskuldbindingar héraðs- og sveitarstjórna, sem gefnar eru út og fjármagnaðar í heimamynt þeirra, hafa áhættuvogina 20%.</w:t>
            </w:r>
          </w:p>
          <w:p w:rsidR="00786B63" w:rsidRPr="00447F64" w:rsidRDefault="00786B63"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Hafi eftirlitsstjórnvöld í aðildarríki EES ákveðið að áhættuskuldbindingar héraðs- </w:t>
            </w:r>
            <w:r w:rsidRPr="00447F64">
              <w:rPr>
                <w:rFonts w:ascii="Arial" w:eastAsia="Times New Roman" w:hAnsi="Arial" w:cs="Arial"/>
                <w:sz w:val="24"/>
                <w:szCs w:val="24"/>
                <w:lang w:eastAsia="is-IS"/>
              </w:rPr>
              <w:lastRenderedPageBreak/>
              <w:t>og sveitarstjórna hafi sömu áhættuvog og áhættuskuldbindingar ríkisins sjálfs getur Fjármálaeftirlitið ákveðið að nota megi þá áhættuvog þegar þessum reglum er beitt.</w:t>
            </w:r>
          </w:p>
          <w:p w:rsidR="00786B63" w:rsidRPr="00447F64" w:rsidRDefault="00786B63"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Hafi eftirlitsstjórnvöld í ríki utan EES ákveðið að áhættuskuldbindingar héraðs- og sveitarstjórna hafi sömu áhættuvog og áhættuskuldbindingar ríkisins sjálfs getur Fjármálaeftirlitið ákveðið að nota megi þá áhættuvog þegar þessum reglum er beitt, enda séu reglur og eftirlit í því ríki hliðstæð því sem er innan EES.</w:t>
            </w:r>
            <w:r w:rsidR="00B576B9" w:rsidRPr="00447F64">
              <w:rPr>
                <w:rFonts w:ascii="Arial" w:eastAsia="Times New Roman" w:hAnsi="Arial" w:cs="Arial"/>
                <w:sz w:val="24"/>
                <w:szCs w:val="24"/>
                <w:lang w:eastAsia="is-IS"/>
              </w:rPr>
              <w:t>]</w:t>
            </w:r>
            <w:r w:rsidR="00B576B9" w:rsidRPr="00447F64">
              <w:rPr>
                <w:rStyle w:val="FootnoteReference"/>
                <w:rFonts w:ascii="Arial" w:eastAsia="Times New Roman" w:hAnsi="Arial" w:cs="Arial"/>
                <w:sz w:val="24"/>
                <w:szCs w:val="24"/>
                <w:lang w:eastAsia="is-IS"/>
              </w:rPr>
              <w:footnoteReference w:id="15"/>
            </w:r>
          </w:p>
          <w:p w:rsidR="008317D6" w:rsidRPr="00447F64" w:rsidRDefault="008317D6" w:rsidP="00E738BF">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13. gr.</w:t>
            </w:r>
          </w:p>
          <w:p w:rsidR="008317D6" w:rsidRPr="00447F64" w:rsidRDefault="00B576B9" w:rsidP="00E738BF">
            <w:pPr>
              <w:spacing w:before="100" w:beforeAutospacing="1" w:after="100" w:afterAutospacing="1" w:line="240" w:lineRule="auto"/>
              <w:jc w:val="center"/>
              <w:rPr>
                <w:rFonts w:ascii="Arial" w:eastAsia="Times New Roman" w:hAnsi="Arial" w:cs="Arial"/>
                <w:i/>
                <w:iCs/>
                <w:sz w:val="24"/>
                <w:szCs w:val="24"/>
                <w:lang w:eastAsia="is-IS"/>
              </w:rPr>
            </w:pPr>
            <w:r w:rsidRPr="00447F64">
              <w:rPr>
                <w:rFonts w:ascii="Arial" w:eastAsia="Times New Roman" w:hAnsi="Arial" w:cs="Arial"/>
                <w:iCs/>
                <w:sz w:val="24"/>
                <w:szCs w:val="24"/>
                <w:lang w:eastAsia="is-IS"/>
              </w:rPr>
              <w:t>[</w:t>
            </w:r>
            <w:r w:rsidR="008317D6" w:rsidRPr="00447F64">
              <w:rPr>
                <w:rFonts w:ascii="Arial" w:eastAsia="Times New Roman" w:hAnsi="Arial" w:cs="Arial"/>
                <w:i/>
                <w:iCs/>
                <w:sz w:val="24"/>
                <w:szCs w:val="24"/>
                <w:lang w:eastAsia="is-IS"/>
              </w:rPr>
              <w:t>Opinberar stofnanir og fyrirtæki.</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Opinberar stofnanir og fyrirtæki (tegund c.) fá áhættuvog 100%, nema Fjármálaeftirlitið heimili annað, sbr. 2. mgr.</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Fjármálaeftirlitið getur heimilað að meta megi áhættuskuldbindingar opinberra stofnana og fyrirtækja á Íslandi eins og áhættuskuldbindingar fjármálafyrirtækja enda uppfylli fyrirtækin skilyrði 2. gr. að mati Fjármálaeftirlitsins. Þó má ekki meta skamm</w:t>
            </w:r>
            <w:r w:rsidRPr="00447F64">
              <w:rPr>
                <w:rFonts w:ascii="Arial" w:eastAsia="Times New Roman" w:hAnsi="Arial" w:cs="Arial"/>
                <w:sz w:val="24"/>
                <w:szCs w:val="24"/>
                <w:lang w:eastAsia="is-IS"/>
              </w:rPr>
              <w:softHyphen/>
              <w:t>tíma</w:t>
            </w:r>
            <w:r w:rsidRPr="00447F64">
              <w:rPr>
                <w:rFonts w:ascii="Arial" w:eastAsia="Times New Roman" w:hAnsi="Arial" w:cs="Arial"/>
                <w:sz w:val="24"/>
                <w:szCs w:val="24"/>
                <w:lang w:eastAsia="is-IS"/>
              </w:rPr>
              <w:softHyphen/>
              <w:t>skuld</w:t>
            </w:r>
            <w:r w:rsidRPr="00447F64">
              <w:rPr>
                <w:rFonts w:ascii="Arial" w:eastAsia="Times New Roman" w:hAnsi="Arial" w:cs="Arial"/>
                <w:sz w:val="24"/>
                <w:szCs w:val="24"/>
                <w:lang w:eastAsia="is-IS"/>
              </w:rPr>
              <w:softHyphen/>
              <w:t xml:space="preserve">bindingar þessara fyrirtækja eins og skammtímaskuldbindingar fjármálafyrirtækja. Nöfn þessara fyrirtækja eru birt á heimasíðu Fjármálaeftirlitsins. </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Hafi eftirlitsstjórnvöld annars aðildarríkis EES ákveðið að beita heimildum sambærilegum þeim sem eru í 2. mgr. á opinberar stofnanir og fyrirtæki í sínu heimalandi er íslenskum fjármálafyrirtækjum heimilt að nota áhættuvog samkvæmt því.</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Heimili eftirlitsstjórnvöld í ríkjum utan EES að meta megi opinberar stofnanir og fyrirtæki, sem rekin eru með öðrum markmiðum en að hámarka hagnað, eins og fjármálafyrirtæki getur Fjármálaeftirlitið ákveðið að áhættuskuldbindingar þessara stofnana megi áhættu</w:t>
            </w:r>
            <w:r w:rsidRPr="00447F64">
              <w:rPr>
                <w:rFonts w:ascii="Arial" w:eastAsia="Times New Roman" w:hAnsi="Arial" w:cs="Arial"/>
                <w:sz w:val="24"/>
                <w:szCs w:val="24"/>
                <w:lang w:eastAsia="is-IS"/>
              </w:rPr>
              <w:softHyphen/>
              <w:t>vega á sama hátt, enda sé regluverk og fjármálaeftirlit með sambærilegum hætti og í ríkjum EES.</w:t>
            </w:r>
            <w:r w:rsidR="00B576B9" w:rsidRPr="00447F64">
              <w:rPr>
                <w:rFonts w:ascii="Arial" w:eastAsia="Times New Roman" w:hAnsi="Arial" w:cs="Arial"/>
                <w:sz w:val="24"/>
                <w:szCs w:val="24"/>
                <w:lang w:eastAsia="is-IS"/>
              </w:rPr>
              <w:t>]</w:t>
            </w:r>
            <w:r w:rsidR="00B576B9" w:rsidRPr="00447F64">
              <w:rPr>
                <w:rStyle w:val="FootnoteReference"/>
                <w:rFonts w:ascii="Arial" w:eastAsia="Times New Roman" w:hAnsi="Arial" w:cs="Arial"/>
                <w:sz w:val="24"/>
                <w:szCs w:val="24"/>
                <w:lang w:eastAsia="is-IS"/>
              </w:rPr>
              <w:footnoteReference w:id="16"/>
            </w:r>
          </w:p>
          <w:p w:rsidR="008317D6" w:rsidRPr="00447F64" w:rsidRDefault="008317D6" w:rsidP="00E738BF">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14. gr.</w:t>
            </w:r>
          </w:p>
          <w:p w:rsidR="008317D6" w:rsidRPr="00447F64" w:rsidRDefault="00B576B9" w:rsidP="00E738BF">
            <w:pPr>
              <w:spacing w:before="100" w:beforeAutospacing="1" w:after="100" w:afterAutospacing="1" w:line="240" w:lineRule="auto"/>
              <w:jc w:val="center"/>
              <w:rPr>
                <w:rFonts w:ascii="Arial" w:eastAsia="Times New Roman" w:hAnsi="Arial" w:cs="Arial"/>
                <w:i/>
                <w:iCs/>
                <w:sz w:val="24"/>
                <w:szCs w:val="24"/>
                <w:lang w:eastAsia="is-IS"/>
              </w:rPr>
            </w:pPr>
            <w:r w:rsidRPr="00447F64">
              <w:rPr>
                <w:rFonts w:ascii="Arial" w:eastAsia="Times New Roman" w:hAnsi="Arial" w:cs="Arial"/>
                <w:iCs/>
                <w:sz w:val="24"/>
                <w:szCs w:val="24"/>
                <w:lang w:eastAsia="is-IS"/>
              </w:rPr>
              <w:t>[</w:t>
            </w:r>
            <w:r w:rsidR="008317D6" w:rsidRPr="00447F64">
              <w:rPr>
                <w:rFonts w:ascii="Arial" w:eastAsia="Times New Roman" w:hAnsi="Arial" w:cs="Arial"/>
                <w:i/>
                <w:iCs/>
                <w:sz w:val="24"/>
                <w:szCs w:val="24"/>
                <w:lang w:eastAsia="is-IS"/>
              </w:rPr>
              <w:t>Fjölþjóða þróunarbankar og alþjóðastofnanir.</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Áhættuskuldbindingar eftirtalinna fjölþjóða þróunarbanka (tegund d.) hafa áhættuvog 0%:</w:t>
            </w:r>
          </w:p>
          <w:p w:rsidR="008317D6" w:rsidRPr="00447F64" w:rsidRDefault="008317D6" w:rsidP="00447F64">
            <w:pPr>
              <w:numPr>
                <w:ilvl w:val="0"/>
                <w:numId w:val="31"/>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Alþjóðabankinn (</w:t>
            </w:r>
            <w:proofErr w:type="spellStart"/>
            <w:r w:rsidRPr="00447F64">
              <w:rPr>
                <w:rFonts w:ascii="Arial" w:eastAsia="Times New Roman" w:hAnsi="Arial" w:cs="Arial"/>
                <w:i/>
                <w:iCs/>
                <w:sz w:val="24"/>
                <w:szCs w:val="24"/>
                <w:lang w:eastAsia="is-IS"/>
              </w:rPr>
              <w:t>the</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International</w:t>
            </w:r>
            <w:proofErr w:type="spellEnd"/>
            <w:r w:rsidRPr="00447F64">
              <w:rPr>
                <w:rFonts w:ascii="Arial" w:eastAsia="Times New Roman" w:hAnsi="Arial" w:cs="Arial"/>
                <w:i/>
                <w:iCs/>
                <w:sz w:val="24"/>
                <w:szCs w:val="24"/>
                <w:lang w:eastAsia="is-IS"/>
              </w:rPr>
              <w:t xml:space="preserve"> Bank for </w:t>
            </w:r>
            <w:proofErr w:type="spellStart"/>
            <w:r w:rsidRPr="00447F64">
              <w:rPr>
                <w:rFonts w:ascii="Arial" w:eastAsia="Times New Roman" w:hAnsi="Arial" w:cs="Arial"/>
                <w:i/>
                <w:iCs/>
                <w:sz w:val="24"/>
                <w:szCs w:val="24"/>
                <w:lang w:eastAsia="is-IS"/>
              </w:rPr>
              <w:t>Reconstruction</w:t>
            </w:r>
            <w:proofErr w:type="spellEnd"/>
            <w:r w:rsidRPr="00447F64">
              <w:rPr>
                <w:rFonts w:ascii="Arial" w:eastAsia="Times New Roman" w:hAnsi="Arial" w:cs="Arial"/>
                <w:i/>
                <w:iCs/>
                <w:sz w:val="24"/>
                <w:szCs w:val="24"/>
                <w:lang w:eastAsia="is-IS"/>
              </w:rPr>
              <w:t xml:space="preserve"> and </w:t>
            </w:r>
            <w:proofErr w:type="spellStart"/>
            <w:r w:rsidRPr="00447F64">
              <w:rPr>
                <w:rFonts w:ascii="Arial" w:eastAsia="Times New Roman" w:hAnsi="Arial" w:cs="Arial"/>
                <w:i/>
                <w:iCs/>
                <w:sz w:val="24"/>
                <w:szCs w:val="24"/>
                <w:lang w:eastAsia="is-IS"/>
              </w:rPr>
              <w:t>Development</w:t>
            </w:r>
            <w:proofErr w:type="spellEnd"/>
            <w:r w:rsidRPr="00447F64">
              <w:rPr>
                <w:rFonts w:ascii="Arial" w:eastAsia="Times New Roman" w:hAnsi="Arial" w:cs="Arial"/>
                <w:sz w:val="24"/>
                <w:szCs w:val="24"/>
                <w:lang w:eastAsia="is-IS"/>
              </w:rPr>
              <w:t xml:space="preserve">), </w:t>
            </w:r>
          </w:p>
          <w:p w:rsidR="008317D6" w:rsidRPr="00447F64" w:rsidRDefault="00B576B9" w:rsidP="00447F64">
            <w:pPr>
              <w:numPr>
                <w:ilvl w:val="0"/>
                <w:numId w:val="31"/>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w:t>
            </w:r>
            <w:r w:rsidR="008317D6" w:rsidRPr="00447F64">
              <w:rPr>
                <w:rFonts w:ascii="Arial" w:eastAsia="Times New Roman" w:hAnsi="Arial" w:cs="Arial"/>
                <w:sz w:val="24"/>
                <w:szCs w:val="24"/>
                <w:lang w:eastAsia="is-IS"/>
              </w:rPr>
              <w:t>Alþjóðalánastofnunin (</w:t>
            </w:r>
            <w:proofErr w:type="spellStart"/>
            <w:r w:rsidR="008317D6" w:rsidRPr="00447F64">
              <w:rPr>
                <w:rFonts w:ascii="Arial" w:eastAsia="Times New Roman" w:hAnsi="Arial" w:cs="Arial"/>
                <w:i/>
                <w:iCs/>
                <w:sz w:val="24"/>
                <w:szCs w:val="24"/>
                <w:lang w:eastAsia="is-IS"/>
              </w:rPr>
              <w:t>the</w:t>
            </w:r>
            <w:proofErr w:type="spellEnd"/>
            <w:r w:rsidR="008317D6" w:rsidRPr="00447F64">
              <w:rPr>
                <w:rFonts w:ascii="Arial" w:eastAsia="Times New Roman" w:hAnsi="Arial" w:cs="Arial"/>
                <w:i/>
                <w:iCs/>
                <w:sz w:val="24"/>
                <w:szCs w:val="24"/>
                <w:lang w:eastAsia="is-IS"/>
              </w:rPr>
              <w:t xml:space="preserve"> </w:t>
            </w:r>
            <w:proofErr w:type="spellStart"/>
            <w:r w:rsidR="00786B63" w:rsidRPr="00447F64">
              <w:rPr>
                <w:rFonts w:ascii="Arial" w:eastAsia="Times New Roman" w:hAnsi="Arial" w:cs="Arial"/>
                <w:i/>
                <w:iCs/>
                <w:sz w:val="24"/>
                <w:szCs w:val="24"/>
                <w:lang w:eastAsia="is-IS"/>
              </w:rPr>
              <w:t>International</w:t>
            </w:r>
            <w:proofErr w:type="spellEnd"/>
            <w:r w:rsidR="00786B63" w:rsidRPr="00447F64">
              <w:rPr>
                <w:rFonts w:ascii="Arial" w:eastAsia="Times New Roman" w:hAnsi="Arial" w:cs="Arial"/>
                <w:i/>
                <w:iCs/>
                <w:sz w:val="24"/>
                <w:szCs w:val="24"/>
                <w:lang w:eastAsia="is-IS"/>
              </w:rPr>
              <w:t xml:space="preserve"> </w:t>
            </w:r>
            <w:proofErr w:type="spellStart"/>
            <w:r w:rsidR="00786B63" w:rsidRPr="00447F64">
              <w:rPr>
                <w:rFonts w:ascii="Arial" w:eastAsia="Times New Roman" w:hAnsi="Arial" w:cs="Arial"/>
                <w:i/>
                <w:iCs/>
                <w:sz w:val="24"/>
                <w:szCs w:val="24"/>
                <w:lang w:eastAsia="is-IS"/>
              </w:rPr>
              <w:t>Finance</w:t>
            </w:r>
            <w:proofErr w:type="spellEnd"/>
            <w:r w:rsidR="00786B63" w:rsidRPr="00447F64">
              <w:rPr>
                <w:rFonts w:ascii="Arial" w:eastAsia="Times New Roman" w:hAnsi="Arial" w:cs="Arial"/>
                <w:i/>
                <w:iCs/>
                <w:sz w:val="24"/>
                <w:szCs w:val="24"/>
                <w:lang w:eastAsia="is-IS"/>
              </w:rPr>
              <w:t xml:space="preserve"> </w:t>
            </w:r>
            <w:proofErr w:type="spellStart"/>
            <w:r w:rsidR="00786B63" w:rsidRPr="00447F64">
              <w:rPr>
                <w:rFonts w:ascii="Arial" w:eastAsia="Times New Roman" w:hAnsi="Arial" w:cs="Arial"/>
                <w:i/>
                <w:iCs/>
                <w:sz w:val="24"/>
                <w:szCs w:val="24"/>
                <w:lang w:eastAsia="is-IS"/>
              </w:rPr>
              <w:t>Corporation</w:t>
            </w:r>
            <w:proofErr w:type="spellEnd"/>
            <w:r w:rsidR="008317D6" w:rsidRPr="00447F64">
              <w:rPr>
                <w:rFonts w:ascii="Arial" w:eastAsia="Times New Roman" w:hAnsi="Arial" w:cs="Arial"/>
                <w:sz w:val="24"/>
                <w:szCs w:val="24"/>
                <w:lang w:eastAsia="is-IS"/>
              </w:rPr>
              <w:t>),</w:t>
            </w:r>
            <w:r w:rsidRPr="00447F64">
              <w:rPr>
                <w:rFonts w:ascii="Arial" w:eastAsia="Times New Roman" w:hAnsi="Arial" w:cs="Arial"/>
                <w:sz w:val="24"/>
                <w:szCs w:val="24"/>
                <w:lang w:eastAsia="is-IS"/>
              </w:rPr>
              <w:t>]</w:t>
            </w:r>
            <w:r w:rsidRPr="00447F64">
              <w:rPr>
                <w:rStyle w:val="FootnoteReference"/>
                <w:rFonts w:ascii="Arial" w:eastAsia="Times New Roman" w:hAnsi="Arial" w:cs="Arial"/>
                <w:sz w:val="24"/>
                <w:szCs w:val="24"/>
                <w:lang w:eastAsia="is-IS"/>
              </w:rPr>
              <w:footnoteReference w:id="17"/>
            </w:r>
            <w:r w:rsidR="008317D6" w:rsidRPr="00447F64">
              <w:rPr>
                <w:rFonts w:ascii="Arial" w:eastAsia="Times New Roman" w:hAnsi="Arial" w:cs="Arial"/>
                <w:sz w:val="24"/>
                <w:szCs w:val="24"/>
                <w:lang w:eastAsia="is-IS"/>
              </w:rPr>
              <w:t xml:space="preserve"> </w:t>
            </w:r>
          </w:p>
          <w:p w:rsidR="008317D6" w:rsidRPr="00447F64" w:rsidRDefault="008317D6" w:rsidP="00447F64">
            <w:pPr>
              <w:numPr>
                <w:ilvl w:val="0"/>
                <w:numId w:val="31"/>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Þróunarbanki Ameríkuríkja (</w:t>
            </w:r>
            <w:proofErr w:type="spellStart"/>
            <w:r w:rsidRPr="00447F64">
              <w:rPr>
                <w:rFonts w:ascii="Arial" w:eastAsia="Times New Roman" w:hAnsi="Arial" w:cs="Arial"/>
                <w:i/>
                <w:iCs/>
                <w:sz w:val="24"/>
                <w:szCs w:val="24"/>
                <w:lang w:eastAsia="is-IS"/>
              </w:rPr>
              <w:t>the</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Inter</w:t>
            </w:r>
            <w:proofErr w:type="spellEnd"/>
            <w:r w:rsidRPr="00447F64">
              <w:rPr>
                <w:rFonts w:ascii="Arial" w:eastAsia="Times New Roman" w:hAnsi="Arial" w:cs="Arial"/>
                <w:i/>
                <w:iCs/>
                <w:sz w:val="24"/>
                <w:szCs w:val="24"/>
                <w:lang w:eastAsia="is-IS"/>
              </w:rPr>
              <w:t>-</w:t>
            </w:r>
            <w:proofErr w:type="spellStart"/>
            <w:r w:rsidRPr="00447F64">
              <w:rPr>
                <w:rFonts w:ascii="Arial" w:eastAsia="Times New Roman" w:hAnsi="Arial" w:cs="Arial"/>
                <w:i/>
                <w:iCs/>
                <w:sz w:val="24"/>
                <w:szCs w:val="24"/>
                <w:lang w:eastAsia="is-IS"/>
              </w:rPr>
              <w:t>American</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Development</w:t>
            </w:r>
            <w:proofErr w:type="spellEnd"/>
            <w:r w:rsidRPr="00447F64">
              <w:rPr>
                <w:rFonts w:ascii="Arial" w:eastAsia="Times New Roman" w:hAnsi="Arial" w:cs="Arial"/>
                <w:i/>
                <w:iCs/>
                <w:sz w:val="24"/>
                <w:szCs w:val="24"/>
                <w:lang w:eastAsia="is-IS"/>
              </w:rPr>
              <w:t xml:space="preserve"> Bank</w:t>
            </w:r>
            <w:r w:rsidRPr="00447F64">
              <w:rPr>
                <w:rFonts w:ascii="Arial" w:eastAsia="Times New Roman" w:hAnsi="Arial" w:cs="Arial"/>
                <w:sz w:val="24"/>
                <w:szCs w:val="24"/>
                <w:lang w:eastAsia="is-IS"/>
              </w:rPr>
              <w:t xml:space="preserve">), </w:t>
            </w:r>
          </w:p>
          <w:p w:rsidR="008317D6" w:rsidRPr="00447F64" w:rsidRDefault="008317D6" w:rsidP="00447F64">
            <w:pPr>
              <w:numPr>
                <w:ilvl w:val="0"/>
                <w:numId w:val="31"/>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Þróunarbanki Asíu (</w:t>
            </w:r>
            <w:proofErr w:type="spellStart"/>
            <w:r w:rsidRPr="00447F64">
              <w:rPr>
                <w:rFonts w:ascii="Arial" w:eastAsia="Times New Roman" w:hAnsi="Arial" w:cs="Arial"/>
                <w:i/>
                <w:iCs/>
                <w:sz w:val="24"/>
                <w:szCs w:val="24"/>
                <w:lang w:eastAsia="is-IS"/>
              </w:rPr>
              <w:t>the</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Asian</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Development</w:t>
            </w:r>
            <w:proofErr w:type="spellEnd"/>
            <w:r w:rsidRPr="00447F64">
              <w:rPr>
                <w:rFonts w:ascii="Arial" w:eastAsia="Times New Roman" w:hAnsi="Arial" w:cs="Arial"/>
                <w:i/>
                <w:iCs/>
                <w:sz w:val="24"/>
                <w:szCs w:val="24"/>
                <w:lang w:eastAsia="is-IS"/>
              </w:rPr>
              <w:t xml:space="preserve"> Bank</w:t>
            </w:r>
            <w:r w:rsidRPr="00447F64">
              <w:rPr>
                <w:rFonts w:ascii="Arial" w:eastAsia="Times New Roman" w:hAnsi="Arial" w:cs="Arial"/>
                <w:sz w:val="24"/>
                <w:szCs w:val="24"/>
                <w:lang w:eastAsia="is-IS"/>
              </w:rPr>
              <w:t xml:space="preserve">), </w:t>
            </w:r>
          </w:p>
          <w:p w:rsidR="008317D6" w:rsidRPr="00447F64" w:rsidRDefault="008317D6" w:rsidP="00447F64">
            <w:pPr>
              <w:numPr>
                <w:ilvl w:val="0"/>
                <w:numId w:val="31"/>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lastRenderedPageBreak/>
              <w:t>Þróunarbanki Afríku (</w:t>
            </w:r>
            <w:proofErr w:type="spellStart"/>
            <w:r w:rsidRPr="00447F64">
              <w:rPr>
                <w:rFonts w:ascii="Arial" w:eastAsia="Times New Roman" w:hAnsi="Arial" w:cs="Arial"/>
                <w:i/>
                <w:iCs/>
                <w:sz w:val="24"/>
                <w:szCs w:val="24"/>
                <w:lang w:eastAsia="is-IS"/>
              </w:rPr>
              <w:t>the</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African</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Development</w:t>
            </w:r>
            <w:proofErr w:type="spellEnd"/>
            <w:r w:rsidRPr="00447F64">
              <w:rPr>
                <w:rFonts w:ascii="Arial" w:eastAsia="Times New Roman" w:hAnsi="Arial" w:cs="Arial"/>
                <w:i/>
                <w:iCs/>
                <w:sz w:val="24"/>
                <w:szCs w:val="24"/>
                <w:lang w:eastAsia="is-IS"/>
              </w:rPr>
              <w:t xml:space="preserve"> Bank</w:t>
            </w:r>
            <w:r w:rsidRPr="00447F64">
              <w:rPr>
                <w:rFonts w:ascii="Arial" w:eastAsia="Times New Roman" w:hAnsi="Arial" w:cs="Arial"/>
                <w:sz w:val="24"/>
                <w:szCs w:val="24"/>
                <w:lang w:eastAsia="is-IS"/>
              </w:rPr>
              <w:t xml:space="preserve">), </w:t>
            </w:r>
          </w:p>
          <w:p w:rsidR="008317D6" w:rsidRPr="00447F64" w:rsidRDefault="008317D6" w:rsidP="00447F64">
            <w:pPr>
              <w:numPr>
                <w:ilvl w:val="0"/>
                <w:numId w:val="31"/>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Þróunarbanki Evrópuráðsins (</w:t>
            </w:r>
            <w:proofErr w:type="spellStart"/>
            <w:r w:rsidRPr="00447F64">
              <w:rPr>
                <w:rFonts w:ascii="Arial" w:eastAsia="Times New Roman" w:hAnsi="Arial" w:cs="Arial"/>
                <w:i/>
                <w:iCs/>
                <w:sz w:val="24"/>
                <w:szCs w:val="24"/>
                <w:lang w:eastAsia="is-IS"/>
              </w:rPr>
              <w:t>the</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Council</w:t>
            </w:r>
            <w:proofErr w:type="spellEnd"/>
            <w:r w:rsidRPr="00447F64">
              <w:rPr>
                <w:rFonts w:ascii="Arial" w:eastAsia="Times New Roman" w:hAnsi="Arial" w:cs="Arial"/>
                <w:i/>
                <w:iCs/>
                <w:sz w:val="24"/>
                <w:szCs w:val="24"/>
                <w:lang w:eastAsia="is-IS"/>
              </w:rPr>
              <w:t xml:space="preserve"> of </w:t>
            </w:r>
            <w:proofErr w:type="spellStart"/>
            <w:r w:rsidRPr="00447F64">
              <w:rPr>
                <w:rFonts w:ascii="Arial" w:eastAsia="Times New Roman" w:hAnsi="Arial" w:cs="Arial"/>
                <w:i/>
                <w:iCs/>
                <w:sz w:val="24"/>
                <w:szCs w:val="24"/>
                <w:lang w:eastAsia="is-IS"/>
              </w:rPr>
              <w:t>Europe</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Development</w:t>
            </w:r>
            <w:proofErr w:type="spellEnd"/>
            <w:r w:rsidRPr="00447F64">
              <w:rPr>
                <w:rFonts w:ascii="Arial" w:eastAsia="Times New Roman" w:hAnsi="Arial" w:cs="Arial"/>
                <w:i/>
                <w:iCs/>
                <w:sz w:val="24"/>
                <w:szCs w:val="24"/>
                <w:lang w:eastAsia="is-IS"/>
              </w:rPr>
              <w:t xml:space="preserve"> Bank</w:t>
            </w:r>
            <w:r w:rsidRPr="00447F64">
              <w:rPr>
                <w:rFonts w:ascii="Arial" w:eastAsia="Times New Roman" w:hAnsi="Arial" w:cs="Arial"/>
                <w:sz w:val="24"/>
                <w:szCs w:val="24"/>
                <w:lang w:eastAsia="is-IS"/>
              </w:rPr>
              <w:t xml:space="preserve">), </w:t>
            </w:r>
          </w:p>
          <w:p w:rsidR="008317D6" w:rsidRPr="00447F64" w:rsidRDefault="008317D6" w:rsidP="00447F64">
            <w:pPr>
              <w:numPr>
                <w:ilvl w:val="0"/>
                <w:numId w:val="31"/>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Norræni fjárfestingarbankinn (</w:t>
            </w:r>
            <w:proofErr w:type="spellStart"/>
            <w:r w:rsidRPr="00447F64">
              <w:rPr>
                <w:rFonts w:ascii="Arial" w:eastAsia="Times New Roman" w:hAnsi="Arial" w:cs="Arial"/>
                <w:i/>
                <w:iCs/>
                <w:sz w:val="24"/>
                <w:szCs w:val="24"/>
                <w:lang w:eastAsia="is-IS"/>
              </w:rPr>
              <w:t>the</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Nordic</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Investment</w:t>
            </w:r>
            <w:proofErr w:type="spellEnd"/>
            <w:r w:rsidRPr="00447F64">
              <w:rPr>
                <w:rFonts w:ascii="Arial" w:eastAsia="Times New Roman" w:hAnsi="Arial" w:cs="Arial"/>
                <w:i/>
                <w:iCs/>
                <w:sz w:val="24"/>
                <w:szCs w:val="24"/>
                <w:lang w:eastAsia="is-IS"/>
              </w:rPr>
              <w:t xml:space="preserve"> Bank</w:t>
            </w:r>
            <w:r w:rsidRPr="00447F64">
              <w:rPr>
                <w:rFonts w:ascii="Arial" w:eastAsia="Times New Roman" w:hAnsi="Arial" w:cs="Arial"/>
                <w:sz w:val="24"/>
                <w:szCs w:val="24"/>
                <w:lang w:eastAsia="is-IS"/>
              </w:rPr>
              <w:t xml:space="preserve">), </w:t>
            </w:r>
          </w:p>
          <w:p w:rsidR="008317D6" w:rsidRPr="00447F64" w:rsidRDefault="008317D6" w:rsidP="00447F64">
            <w:pPr>
              <w:numPr>
                <w:ilvl w:val="0"/>
                <w:numId w:val="31"/>
              </w:numPr>
              <w:spacing w:before="100" w:beforeAutospacing="1" w:after="100" w:afterAutospacing="1" w:line="240" w:lineRule="auto"/>
              <w:jc w:val="both"/>
              <w:rPr>
                <w:rFonts w:ascii="Arial" w:eastAsia="Times New Roman" w:hAnsi="Arial" w:cs="Arial"/>
                <w:sz w:val="24"/>
                <w:szCs w:val="24"/>
                <w:lang w:eastAsia="is-IS"/>
              </w:rPr>
            </w:pPr>
            <w:proofErr w:type="spellStart"/>
            <w:r w:rsidRPr="00447F64">
              <w:rPr>
                <w:rFonts w:ascii="Arial" w:eastAsia="Times New Roman" w:hAnsi="Arial" w:cs="Arial"/>
                <w:sz w:val="24"/>
                <w:szCs w:val="24"/>
                <w:lang w:eastAsia="is-IS"/>
              </w:rPr>
              <w:t>Karíbaþróunarbankinn</w:t>
            </w:r>
            <w:proofErr w:type="spellEnd"/>
            <w:r w:rsidRPr="00447F64">
              <w:rPr>
                <w:rFonts w:ascii="Arial" w:eastAsia="Times New Roman" w:hAnsi="Arial" w:cs="Arial"/>
                <w:sz w:val="24"/>
                <w:szCs w:val="24"/>
                <w:lang w:eastAsia="is-IS"/>
              </w:rPr>
              <w:t xml:space="preserve"> (</w:t>
            </w:r>
            <w:proofErr w:type="spellStart"/>
            <w:r w:rsidRPr="00447F64">
              <w:rPr>
                <w:rFonts w:ascii="Arial" w:eastAsia="Times New Roman" w:hAnsi="Arial" w:cs="Arial"/>
                <w:i/>
                <w:iCs/>
                <w:sz w:val="24"/>
                <w:szCs w:val="24"/>
                <w:lang w:eastAsia="is-IS"/>
              </w:rPr>
              <w:t>the</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Caribbean</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Development</w:t>
            </w:r>
            <w:proofErr w:type="spellEnd"/>
            <w:r w:rsidRPr="00447F64">
              <w:rPr>
                <w:rFonts w:ascii="Arial" w:eastAsia="Times New Roman" w:hAnsi="Arial" w:cs="Arial"/>
                <w:i/>
                <w:iCs/>
                <w:sz w:val="24"/>
                <w:szCs w:val="24"/>
                <w:lang w:eastAsia="is-IS"/>
              </w:rPr>
              <w:t xml:space="preserve"> Bank</w:t>
            </w:r>
            <w:r w:rsidRPr="00447F64">
              <w:rPr>
                <w:rFonts w:ascii="Arial" w:eastAsia="Times New Roman" w:hAnsi="Arial" w:cs="Arial"/>
                <w:sz w:val="24"/>
                <w:szCs w:val="24"/>
                <w:lang w:eastAsia="is-IS"/>
              </w:rPr>
              <w:t xml:space="preserve">), </w:t>
            </w:r>
          </w:p>
          <w:p w:rsidR="008317D6" w:rsidRPr="00447F64" w:rsidRDefault="008317D6" w:rsidP="00447F64">
            <w:pPr>
              <w:numPr>
                <w:ilvl w:val="0"/>
                <w:numId w:val="31"/>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Endurreisnar- og þróunarbanki Evrópu (</w:t>
            </w:r>
            <w:proofErr w:type="spellStart"/>
            <w:r w:rsidRPr="00447F64">
              <w:rPr>
                <w:rFonts w:ascii="Arial" w:eastAsia="Times New Roman" w:hAnsi="Arial" w:cs="Arial"/>
                <w:i/>
                <w:iCs/>
                <w:sz w:val="24"/>
                <w:szCs w:val="24"/>
                <w:lang w:eastAsia="is-IS"/>
              </w:rPr>
              <w:t>the</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European</w:t>
            </w:r>
            <w:proofErr w:type="spellEnd"/>
            <w:r w:rsidRPr="00447F64">
              <w:rPr>
                <w:rFonts w:ascii="Arial" w:eastAsia="Times New Roman" w:hAnsi="Arial" w:cs="Arial"/>
                <w:i/>
                <w:iCs/>
                <w:sz w:val="24"/>
                <w:szCs w:val="24"/>
                <w:lang w:eastAsia="is-IS"/>
              </w:rPr>
              <w:t xml:space="preserve"> Bank for </w:t>
            </w:r>
            <w:proofErr w:type="spellStart"/>
            <w:r w:rsidRPr="00447F64">
              <w:rPr>
                <w:rFonts w:ascii="Arial" w:eastAsia="Times New Roman" w:hAnsi="Arial" w:cs="Arial"/>
                <w:i/>
                <w:iCs/>
                <w:sz w:val="24"/>
                <w:szCs w:val="24"/>
                <w:lang w:eastAsia="is-IS"/>
              </w:rPr>
              <w:t>Reconstruction</w:t>
            </w:r>
            <w:proofErr w:type="spellEnd"/>
            <w:r w:rsidRPr="00447F64">
              <w:rPr>
                <w:rFonts w:ascii="Arial" w:eastAsia="Times New Roman" w:hAnsi="Arial" w:cs="Arial"/>
                <w:i/>
                <w:iCs/>
                <w:sz w:val="24"/>
                <w:szCs w:val="24"/>
                <w:lang w:eastAsia="is-IS"/>
              </w:rPr>
              <w:t xml:space="preserve"> and </w:t>
            </w:r>
            <w:proofErr w:type="spellStart"/>
            <w:r w:rsidRPr="00447F64">
              <w:rPr>
                <w:rFonts w:ascii="Arial" w:eastAsia="Times New Roman" w:hAnsi="Arial" w:cs="Arial"/>
                <w:i/>
                <w:iCs/>
                <w:sz w:val="24"/>
                <w:szCs w:val="24"/>
                <w:lang w:eastAsia="is-IS"/>
              </w:rPr>
              <w:t>Development</w:t>
            </w:r>
            <w:proofErr w:type="spellEnd"/>
            <w:r w:rsidRPr="00447F64">
              <w:rPr>
                <w:rFonts w:ascii="Arial" w:eastAsia="Times New Roman" w:hAnsi="Arial" w:cs="Arial"/>
                <w:sz w:val="24"/>
                <w:szCs w:val="24"/>
                <w:lang w:eastAsia="is-IS"/>
              </w:rPr>
              <w:t xml:space="preserve">), </w:t>
            </w:r>
          </w:p>
          <w:p w:rsidR="008317D6" w:rsidRPr="00447F64" w:rsidRDefault="008317D6" w:rsidP="00447F64">
            <w:pPr>
              <w:numPr>
                <w:ilvl w:val="0"/>
                <w:numId w:val="31"/>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Fjárfestingarbanki Evrópu (</w:t>
            </w:r>
            <w:proofErr w:type="spellStart"/>
            <w:r w:rsidRPr="00447F64">
              <w:rPr>
                <w:rFonts w:ascii="Arial" w:eastAsia="Times New Roman" w:hAnsi="Arial" w:cs="Arial"/>
                <w:i/>
                <w:iCs/>
                <w:sz w:val="24"/>
                <w:szCs w:val="24"/>
                <w:lang w:eastAsia="is-IS"/>
              </w:rPr>
              <w:t>the</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European</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Investment</w:t>
            </w:r>
            <w:proofErr w:type="spellEnd"/>
            <w:r w:rsidRPr="00447F64">
              <w:rPr>
                <w:rFonts w:ascii="Arial" w:eastAsia="Times New Roman" w:hAnsi="Arial" w:cs="Arial"/>
                <w:i/>
                <w:iCs/>
                <w:sz w:val="24"/>
                <w:szCs w:val="24"/>
                <w:lang w:eastAsia="is-IS"/>
              </w:rPr>
              <w:t xml:space="preserve"> Bank</w:t>
            </w:r>
            <w:r w:rsidRPr="00447F64">
              <w:rPr>
                <w:rFonts w:ascii="Arial" w:eastAsia="Times New Roman" w:hAnsi="Arial" w:cs="Arial"/>
                <w:sz w:val="24"/>
                <w:szCs w:val="24"/>
                <w:lang w:eastAsia="is-IS"/>
              </w:rPr>
              <w:t xml:space="preserve">), </w:t>
            </w:r>
          </w:p>
          <w:p w:rsidR="008317D6" w:rsidRPr="00447F64" w:rsidRDefault="008317D6" w:rsidP="00447F64">
            <w:pPr>
              <w:numPr>
                <w:ilvl w:val="0"/>
                <w:numId w:val="31"/>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Fjárfestingarsjóður Evrópu (</w:t>
            </w:r>
            <w:proofErr w:type="spellStart"/>
            <w:r w:rsidRPr="00447F64">
              <w:rPr>
                <w:rFonts w:ascii="Arial" w:eastAsia="Times New Roman" w:hAnsi="Arial" w:cs="Arial"/>
                <w:i/>
                <w:iCs/>
                <w:sz w:val="24"/>
                <w:szCs w:val="24"/>
                <w:lang w:eastAsia="is-IS"/>
              </w:rPr>
              <w:t>the</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European</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Investment</w:t>
            </w:r>
            <w:proofErr w:type="spellEnd"/>
            <w:r w:rsidRPr="00447F64">
              <w:rPr>
                <w:rFonts w:ascii="Arial" w:eastAsia="Times New Roman" w:hAnsi="Arial" w:cs="Arial"/>
                <w:i/>
                <w:iCs/>
                <w:sz w:val="24"/>
                <w:szCs w:val="24"/>
                <w:lang w:eastAsia="is-IS"/>
              </w:rPr>
              <w:t xml:space="preserve"> Fund</w:t>
            </w:r>
            <w:r w:rsidRPr="00447F64">
              <w:rPr>
                <w:rFonts w:ascii="Arial" w:eastAsia="Times New Roman" w:hAnsi="Arial" w:cs="Arial"/>
                <w:sz w:val="24"/>
                <w:szCs w:val="24"/>
                <w:lang w:eastAsia="is-IS"/>
              </w:rPr>
              <w:t xml:space="preserve">), </w:t>
            </w:r>
          </w:p>
          <w:p w:rsidR="008317D6" w:rsidRPr="00447F64" w:rsidRDefault="008317D6" w:rsidP="00447F64">
            <w:pPr>
              <w:numPr>
                <w:ilvl w:val="0"/>
                <w:numId w:val="31"/>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Fjölþjóðlega fjárfestingarábyrgðarstofnunin (</w:t>
            </w:r>
            <w:proofErr w:type="spellStart"/>
            <w:r w:rsidRPr="00447F64">
              <w:rPr>
                <w:rFonts w:ascii="Arial" w:eastAsia="Times New Roman" w:hAnsi="Arial" w:cs="Arial"/>
                <w:i/>
                <w:iCs/>
                <w:sz w:val="24"/>
                <w:szCs w:val="24"/>
                <w:lang w:eastAsia="is-IS"/>
              </w:rPr>
              <w:t>the</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Multilateral</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Investment</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Guarantee</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Agency</w:t>
            </w:r>
            <w:proofErr w:type="spellEnd"/>
            <w:r w:rsidRPr="00447F64">
              <w:rPr>
                <w:rFonts w:ascii="Arial" w:eastAsia="Times New Roman" w:hAnsi="Arial" w:cs="Arial"/>
                <w:sz w:val="24"/>
                <w:szCs w:val="24"/>
                <w:lang w:eastAsia="is-IS"/>
              </w:rPr>
              <w:t xml:space="preserve">), </w:t>
            </w:r>
          </w:p>
          <w:p w:rsidR="008317D6" w:rsidRPr="00447F64" w:rsidRDefault="008317D6" w:rsidP="00447F64">
            <w:pPr>
              <w:numPr>
                <w:ilvl w:val="0"/>
                <w:numId w:val="31"/>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Alþjóðlegi ónæmisaðgerðasjóðurinn (</w:t>
            </w:r>
            <w:proofErr w:type="spellStart"/>
            <w:r w:rsidRPr="00447F64">
              <w:rPr>
                <w:rFonts w:ascii="Arial" w:eastAsia="Times New Roman" w:hAnsi="Arial" w:cs="Arial"/>
                <w:i/>
                <w:iCs/>
                <w:sz w:val="24"/>
                <w:szCs w:val="24"/>
                <w:lang w:eastAsia="is-IS"/>
              </w:rPr>
              <w:t>the</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International</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Finance</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Facility</w:t>
            </w:r>
            <w:proofErr w:type="spellEnd"/>
            <w:r w:rsidRPr="00447F64">
              <w:rPr>
                <w:rFonts w:ascii="Arial" w:eastAsia="Times New Roman" w:hAnsi="Arial" w:cs="Arial"/>
                <w:i/>
                <w:iCs/>
                <w:sz w:val="24"/>
                <w:szCs w:val="24"/>
                <w:lang w:eastAsia="is-IS"/>
              </w:rPr>
              <w:t xml:space="preserve"> for </w:t>
            </w:r>
            <w:proofErr w:type="spellStart"/>
            <w:r w:rsidRPr="00447F64">
              <w:rPr>
                <w:rFonts w:ascii="Arial" w:eastAsia="Times New Roman" w:hAnsi="Arial" w:cs="Arial"/>
                <w:i/>
                <w:iCs/>
                <w:sz w:val="24"/>
                <w:szCs w:val="24"/>
                <w:lang w:eastAsia="is-IS"/>
              </w:rPr>
              <w:t>Immunisation</w:t>
            </w:r>
            <w:proofErr w:type="spellEnd"/>
            <w:r w:rsidRPr="00447F64">
              <w:rPr>
                <w:rFonts w:ascii="Arial" w:eastAsia="Times New Roman" w:hAnsi="Arial" w:cs="Arial"/>
                <w:sz w:val="24"/>
                <w:szCs w:val="24"/>
                <w:lang w:eastAsia="is-IS"/>
              </w:rPr>
              <w:t xml:space="preserve">), og </w:t>
            </w:r>
          </w:p>
          <w:p w:rsidR="008317D6" w:rsidRPr="00447F64" w:rsidRDefault="008317D6" w:rsidP="00447F64">
            <w:pPr>
              <w:numPr>
                <w:ilvl w:val="0"/>
                <w:numId w:val="31"/>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Íslamski þróunarbankinn (</w:t>
            </w:r>
            <w:proofErr w:type="spellStart"/>
            <w:r w:rsidRPr="00447F64">
              <w:rPr>
                <w:rFonts w:ascii="Arial" w:eastAsia="Times New Roman" w:hAnsi="Arial" w:cs="Arial"/>
                <w:i/>
                <w:iCs/>
                <w:sz w:val="24"/>
                <w:szCs w:val="24"/>
                <w:lang w:eastAsia="is-IS"/>
              </w:rPr>
              <w:t>the</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Islamic</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Development</w:t>
            </w:r>
            <w:proofErr w:type="spellEnd"/>
            <w:r w:rsidRPr="00447F64">
              <w:rPr>
                <w:rFonts w:ascii="Arial" w:eastAsia="Times New Roman" w:hAnsi="Arial" w:cs="Arial"/>
                <w:i/>
                <w:iCs/>
                <w:sz w:val="24"/>
                <w:szCs w:val="24"/>
                <w:lang w:eastAsia="is-IS"/>
              </w:rPr>
              <w:t xml:space="preserve"> Bank</w:t>
            </w:r>
            <w:r w:rsidRPr="00447F64">
              <w:rPr>
                <w:rFonts w:ascii="Arial" w:eastAsia="Times New Roman" w:hAnsi="Arial" w:cs="Arial"/>
                <w:sz w:val="24"/>
                <w:szCs w:val="24"/>
                <w:lang w:eastAsia="is-IS"/>
              </w:rPr>
              <w:t>).</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Aðrir fjölþjóða þróunarbankar, þar á meðal Fjárfestingarlánastofnun Ameríkuríkja </w:t>
            </w:r>
            <w:r w:rsidRPr="00447F64">
              <w:rPr>
                <w:rFonts w:ascii="Arial" w:eastAsia="Times New Roman" w:hAnsi="Arial" w:cs="Arial"/>
                <w:i/>
                <w:iCs/>
                <w:sz w:val="24"/>
                <w:szCs w:val="24"/>
                <w:lang w:eastAsia="is-IS"/>
              </w:rPr>
              <w:t>(</w:t>
            </w:r>
            <w:proofErr w:type="spellStart"/>
            <w:r w:rsidRPr="00447F64">
              <w:rPr>
                <w:rFonts w:ascii="Arial" w:eastAsia="Times New Roman" w:hAnsi="Arial" w:cs="Arial"/>
                <w:i/>
                <w:iCs/>
                <w:sz w:val="24"/>
                <w:szCs w:val="24"/>
                <w:lang w:eastAsia="is-IS"/>
              </w:rPr>
              <w:t>the</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Inter</w:t>
            </w:r>
            <w:proofErr w:type="spellEnd"/>
            <w:r w:rsidRPr="00447F64">
              <w:rPr>
                <w:rFonts w:ascii="Arial" w:eastAsia="Times New Roman" w:hAnsi="Arial" w:cs="Arial"/>
                <w:i/>
                <w:iCs/>
                <w:sz w:val="24"/>
                <w:szCs w:val="24"/>
                <w:lang w:eastAsia="is-IS"/>
              </w:rPr>
              <w:t>-</w:t>
            </w:r>
            <w:proofErr w:type="spellStart"/>
            <w:r w:rsidRPr="00447F64">
              <w:rPr>
                <w:rFonts w:ascii="Arial" w:eastAsia="Times New Roman" w:hAnsi="Arial" w:cs="Arial"/>
                <w:i/>
                <w:iCs/>
                <w:sz w:val="24"/>
                <w:szCs w:val="24"/>
                <w:lang w:eastAsia="is-IS"/>
              </w:rPr>
              <w:t>American</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Investment</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Corporation</w:t>
            </w:r>
            <w:proofErr w:type="spellEnd"/>
            <w:r w:rsidRPr="00447F64">
              <w:rPr>
                <w:rFonts w:ascii="Arial" w:eastAsia="Times New Roman" w:hAnsi="Arial" w:cs="Arial"/>
                <w:i/>
                <w:iCs/>
                <w:sz w:val="24"/>
                <w:szCs w:val="24"/>
                <w:lang w:eastAsia="is-IS"/>
              </w:rPr>
              <w:t>)</w:t>
            </w:r>
            <w:r w:rsidRPr="00447F64">
              <w:rPr>
                <w:rFonts w:ascii="Arial" w:eastAsia="Times New Roman" w:hAnsi="Arial" w:cs="Arial"/>
                <w:sz w:val="24"/>
                <w:szCs w:val="24"/>
                <w:lang w:eastAsia="is-IS"/>
              </w:rPr>
              <w:t xml:space="preserve">, Viðskipta- og þróunarbanki Svartahafsins </w:t>
            </w:r>
            <w:r w:rsidRPr="00447F64">
              <w:rPr>
                <w:rFonts w:ascii="Arial" w:eastAsia="Times New Roman" w:hAnsi="Arial" w:cs="Arial"/>
                <w:i/>
                <w:iCs/>
                <w:sz w:val="24"/>
                <w:szCs w:val="24"/>
                <w:lang w:eastAsia="is-IS"/>
              </w:rPr>
              <w:t>(</w:t>
            </w:r>
            <w:proofErr w:type="spellStart"/>
            <w:r w:rsidRPr="00447F64">
              <w:rPr>
                <w:rFonts w:ascii="Arial" w:eastAsia="Times New Roman" w:hAnsi="Arial" w:cs="Arial"/>
                <w:i/>
                <w:iCs/>
                <w:sz w:val="24"/>
                <w:szCs w:val="24"/>
                <w:lang w:eastAsia="is-IS"/>
              </w:rPr>
              <w:t>the</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Black</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Sea</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Trade</w:t>
            </w:r>
            <w:proofErr w:type="spellEnd"/>
            <w:r w:rsidRPr="00447F64">
              <w:rPr>
                <w:rFonts w:ascii="Arial" w:eastAsia="Times New Roman" w:hAnsi="Arial" w:cs="Arial"/>
                <w:i/>
                <w:iCs/>
                <w:sz w:val="24"/>
                <w:szCs w:val="24"/>
                <w:lang w:eastAsia="is-IS"/>
              </w:rPr>
              <w:t xml:space="preserve"> and </w:t>
            </w:r>
            <w:proofErr w:type="spellStart"/>
            <w:r w:rsidRPr="00447F64">
              <w:rPr>
                <w:rFonts w:ascii="Arial" w:eastAsia="Times New Roman" w:hAnsi="Arial" w:cs="Arial"/>
                <w:i/>
                <w:iCs/>
                <w:sz w:val="24"/>
                <w:szCs w:val="24"/>
                <w:lang w:eastAsia="is-IS"/>
              </w:rPr>
              <w:t>Development</w:t>
            </w:r>
            <w:proofErr w:type="spellEnd"/>
            <w:r w:rsidRPr="00447F64">
              <w:rPr>
                <w:rFonts w:ascii="Arial" w:eastAsia="Times New Roman" w:hAnsi="Arial" w:cs="Arial"/>
                <w:i/>
                <w:iCs/>
                <w:sz w:val="24"/>
                <w:szCs w:val="24"/>
                <w:lang w:eastAsia="is-IS"/>
              </w:rPr>
              <w:t xml:space="preserve"> Bank)</w:t>
            </w:r>
            <w:r w:rsidRPr="00447F64">
              <w:rPr>
                <w:rFonts w:ascii="Arial" w:eastAsia="Times New Roman" w:hAnsi="Arial" w:cs="Arial"/>
                <w:sz w:val="24"/>
                <w:szCs w:val="24"/>
                <w:lang w:eastAsia="is-IS"/>
              </w:rPr>
              <w:t xml:space="preserve"> og Þróunarbanki Mið-Ameríkuríkja </w:t>
            </w:r>
            <w:r w:rsidRPr="00447F64">
              <w:rPr>
                <w:rFonts w:ascii="Arial" w:eastAsia="Times New Roman" w:hAnsi="Arial" w:cs="Arial"/>
                <w:i/>
                <w:iCs/>
                <w:sz w:val="24"/>
                <w:szCs w:val="24"/>
                <w:lang w:eastAsia="is-IS"/>
              </w:rPr>
              <w:t>(</w:t>
            </w:r>
            <w:proofErr w:type="spellStart"/>
            <w:r w:rsidRPr="00447F64">
              <w:rPr>
                <w:rFonts w:ascii="Arial" w:eastAsia="Times New Roman" w:hAnsi="Arial" w:cs="Arial"/>
                <w:i/>
                <w:iCs/>
                <w:sz w:val="24"/>
                <w:szCs w:val="24"/>
                <w:lang w:eastAsia="is-IS"/>
              </w:rPr>
              <w:t>Central</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American</w:t>
            </w:r>
            <w:proofErr w:type="spellEnd"/>
            <w:r w:rsidRPr="00447F64">
              <w:rPr>
                <w:rFonts w:ascii="Arial" w:eastAsia="Times New Roman" w:hAnsi="Arial" w:cs="Arial"/>
                <w:i/>
                <w:iCs/>
                <w:sz w:val="24"/>
                <w:szCs w:val="24"/>
                <w:lang w:eastAsia="is-IS"/>
              </w:rPr>
              <w:t xml:space="preserve"> Bank for </w:t>
            </w:r>
            <w:proofErr w:type="spellStart"/>
            <w:r w:rsidRPr="00447F64">
              <w:rPr>
                <w:rFonts w:ascii="Arial" w:eastAsia="Times New Roman" w:hAnsi="Arial" w:cs="Arial"/>
                <w:i/>
                <w:iCs/>
                <w:sz w:val="24"/>
                <w:szCs w:val="24"/>
                <w:lang w:eastAsia="is-IS"/>
              </w:rPr>
              <w:t>Economic</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Integration</w:t>
            </w:r>
            <w:proofErr w:type="spellEnd"/>
            <w:r w:rsidRPr="00447F64">
              <w:rPr>
                <w:rFonts w:ascii="Arial" w:eastAsia="Times New Roman" w:hAnsi="Arial" w:cs="Arial"/>
                <w:i/>
                <w:iCs/>
                <w:sz w:val="24"/>
                <w:szCs w:val="24"/>
                <w:lang w:eastAsia="is-IS"/>
              </w:rPr>
              <w:t>)</w:t>
            </w:r>
            <w:r w:rsidRPr="00447F64">
              <w:rPr>
                <w:rFonts w:ascii="Arial" w:eastAsia="Times New Roman" w:hAnsi="Arial" w:cs="Arial"/>
                <w:sz w:val="24"/>
                <w:szCs w:val="24"/>
                <w:lang w:eastAsia="is-IS"/>
              </w:rPr>
              <w:t>, skulu metnir eins og lánastofnanir sem fengið hafa lánshæfismat viðurkennds matsfyrirtækis samkvæmt eftirfarandi töflu:</w:t>
            </w:r>
          </w:p>
          <w:p w:rsidR="008317D6" w:rsidRPr="00447F64" w:rsidRDefault="008317D6" w:rsidP="00447F64">
            <w:pPr>
              <w:spacing w:before="100" w:beforeAutospacing="1" w:after="100" w:afterAutospacing="1" w:line="240" w:lineRule="auto"/>
              <w:jc w:val="both"/>
              <w:rPr>
                <w:rFonts w:ascii="Arial" w:eastAsia="Times New Roman" w:hAnsi="Arial" w:cs="Arial"/>
                <w:b/>
                <w:bCs/>
                <w:sz w:val="24"/>
                <w:szCs w:val="24"/>
                <w:lang w:eastAsia="is-IS"/>
              </w:rPr>
            </w:pPr>
            <w:r w:rsidRPr="00447F64">
              <w:rPr>
                <w:rFonts w:ascii="Arial" w:eastAsia="Times New Roman" w:hAnsi="Arial" w:cs="Arial"/>
                <w:b/>
                <w:bCs/>
                <w:sz w:val="24"/>
                <w:szCs w:val="24"/>
                <w:lang w:eastAsia="is-IS"/>
              </w:rPr>
              <w:t>Fjölþjóða þróunarbankar.</w:t>
            </w:r>
          </w:p>
          <w:tbl>
            <w:tblPr>
              <w:tblW w:w="76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9"/>
              <w:gridCol w:w="941"/>
              <w:gridCol w:w="940"/>
              <w:gridCol w:w="940"/>
              <w:gridCol w:w="940"/>
              <w:gridCol w:w="940"/>
              <w:gridCol w:w="940"/>
            </w:tblGrid>
            <w:tr w:rsidR="008317D6" w:rsidRPr="00447F64">
              <w:trPr>
                <w:tblCellSpacing w:w="0" w:type="dxa"/>
              </w:trPr>
              <w:tc>
                <w:tcPr>
                  <w:tcW w:w="1300" w:type="pct"/>
                  <w:tcBorders>
                    <w:top w:val="outset" w:sz="6" w:space="0" w:color="auto"/>
                    <w:left w:val="outset" w:sz="6" w:space="0" w:color="auto"/>
                    <w:bottom w:val="outset" w:sz="6" w:space="0" w:color="auto"/>
                    <w:right w:val="outset" w:sz="6" w:space="0" w:color="auto"/>
                  </w:tcBorders>
                  <w:vAlign w:val="center"/>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Þrep útlánagæða</w:t>
                  </w:r>
                </w:p>
              </w:tc>
              <w:tc>
                <w:tcPr>
                  <w:tcW w:w="600" w:type="pct"/>
                  <w:tcBorders>
                    <w:top w:val="outset" w:sz="6" w:space="0" w:color="auto"/>
                    <w:left w:val="outset" w:sz="6" w:space="0" w:color="auto"/>
                    <w:bottom w:val="outset" w:sz="6" w:space="0" w:color="auto"/>
                    <w:right w:val="outset" w:sz="6" w:space="0" w:color="auto"/>
                  </w:tcBorders>
                  <w:vAlign w:val="center"/>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1</w:t>
                  </w:r>
                </w:p>
              </w:tc>
              <w:tc>
                <w:tcPr>
                  <w:tcW w:w="600" w:type="pct"/>
                  <w:tcBorders>
                    <w:top w:val="outset" w:sz="6" w:space="0" w:color="auto"/>
                    <w:left w:val="outset" w:sz="6" w:space="0" w:color="auto"/>
                    <w:bottom w:val="outset" w:sz="6" w:space="0" w:color="auto"/>
                    <w:right w:val="outset" w:sz="6" w:space="0" w:color="auto"/>
                  </w:tcBorders>
                  <w:vAlign w:val="center"/>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2</w:t>
                  </w:r>
                </w:p>
              </w:tc>
              <w:tc>
                <w:tcPr>
                  <w:tcW w:w="600" w:type="pct"/>
                  <w:tcBorders>
                    <w:top w:val="outset" w:sz="6" w:space="0" w:color="auto"/>
                    <w:left w:val="outset" w:sz="6" w:space="0" w:color="auto"/>
                    <w:bottom w:val="outset" w:sz="6" w:space="0" w:color="auto"/>
                    <w:right w:val="outset" w:sz="6" w:space="0" w:color="auto"/>
                  </w:tcBorders>
                  <w:vAlign w:val="center"/>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3</w:t>
                  </w:r>
                </w:p>
              </w:tc>
              <w:tc>
                <w:tcPr>
                  <w:tcW w:w="600" w:type="pct"/>
                  <w:tcBorders>
                    <w:top w:val="outset" w:sz="6" w:space="0" w:color="auto"/>
                    <w:left w:val="outset" w:sz="6" w:space="0" w:color="auto"/>
                    <w:bottom w:val="outset" w:sz="6" w:space="0" w:color="auto"/>
                    <w:right w:val="outset" w:sz="6" w:space="0" w:color="auto"/>
                  </w:tcBorders>
                  <w:vAlign w:val="center"/>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4</w:t>
                  </w:r>
                </w:p>
              </w:tc>
              <w:tc>
                <w:tcPr>
                  <w:tcW w:w="600" w:type="pct"/>
                  <w:tcBorders>
                    <w:top w:val="outset" w:sz="6" w:space="0" w:color="auto"/>
                    <w:left w:val="outset" w:sz="6" w:space="0" w:color="auto"/>
                    <w:bottom w:val="outset" w:sz="6" w:space="0" w:color="auto"/>
                    <w:right w:val="outset" w:sz="6" w:space="0" w:color="auto"/>
                  </w:tcBorders>
                  <w:vAlign w:val="center"/>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5</w:t>
                  </w:r>
                </w:p>
              </w:tc>
              <w:tc>
                <w:tcPr>
                  <w:tcW w:w="600" w:type="pct"/>
                  <w:tcBorders>
                    <w:top w:val="outset" w:sz="6" w:space="0" w:color="auto"/>
                    <w:left w:val="outset" w:sz="6" w:space="0" w:color="auto"/>
                    <w:bottom w:val="outset" w:sz="6" w:space="0" w:color="auto"/>
                    <w:right w:val="outset" w:sz="6" w:space="0" w:color="auto"/>
                  </w:tcBorders>
                  <w:vAlign w:val="center"/>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6</w:t>
                  </w:r>
                </w:p>
              </w:tc>
            </w:tr>
            <w:tr w:rsidR="008317D6" w:rsidRPr="00447F64">
              <w:trPr>
                <w:tblCellSpacing w:w="0" w:type="dxa"/>
              </w:trPr>
              <w:tc>
                <w:tcPr>
                  <w:tcW w:w="1300" w:type="pct"/>
                  <w:tcBorders>
                    <w:top w:val="outset" w:sz="6" w:space="0" w:color="auto"/>
                    <w:left w:val="outset" w:sz="6" w:space="0" w:color="auto"/>
                    <w:bottom w:val="outset" w:sz="6" w:space="0" w:color="auto"/>
                    <w:right w:val="outset" w:sz="6" w:space="0" w:color="auto"/>
                  </w:tcBorders>
                  <w:vAlign w:val="center"/>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Áhættuvog</w:t>
                  </w:r>
                </w:p>
              </w:tc>
              <w:tc>
                <w:tcPr>
                  <w:tcW w:w="600" w:type="pct"/>
                  <w:tcBorders>
                    <w:top w:val="outset" w:sz="6" w:space="0" w:color="auto"/>
                    <w:left w:val="outset" w:sz="6" w:space="0" w:color="auto"/>
                    <w:bottom w:val="outset" w:sz="6" w:space="0" w:color="auto"/>
                    <w:right w:val="outset" w:sz="6" w:space="0" w:color="auto"/>
                  </w:tcBorders>
                  <w:vAlign w:val="center"/>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20%</w:t>
                  </w:r>
                </w:p>
              </w:tc>
              <w:tc>
                <w:tcPr>
                  <w:tcW w:w="600" w:type="pct"/>
                  <w:tcBorders>
                    <w:top w:val="outset" w:sz="6" w:space="0" w:color="auto"/>
                    <w:left w:val="outset" w:sz="6" w:space="0" w:color="auto"/>
                    <w:bottom w:val="outset" w:sz="6" w:space="0" w:color="auto"/>
                    <w:right w:val="outset" w:sz="6" w:space="0" w:color="auto"/>
                  </w:tcBorders>
                  <w:vAlign w:val="center"/>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50%</w:t>
                  </w:r>
                </w:p>
              </w:tc>
              <w:tc>
                <w:tcPr>
                  <w:tcW w:w="600" w:type="pct"/>
                  <w:tcBorders>
                    <w:top w:val="outset" w:sz="6" w:space="0" w:color="auto"/>
                    <w:left w:val="outset" w:sz="6" w:space="0" w:color="auto"/>
                    <w:bottom w:val="outset" w:sz="6" w:space="0" w:color="auto"/>
                    <w:right w:val="outset" w:sz="6" w:space="0" w:color="auto"/>
                  </w:tcBorders>
                  <w:vAlign w:val="center"/>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50%</w:t>
                  </w:r>
                </w:p>
              </w:tc>
              <w:tc>
                <w:tcPr>
                  <w:tcW w:w="600" w:type="pct"/>
                  <w:tcBorders>
                    <w:top w:val="outset" w:sz="6" w:space="0" w:color="auto"/>
                    <w:left w:val="outset" w:sz="6" w:space="0" w:color="auto"/>
                    <w:bottom w:val="outset" w:sz="6" w:space="0" w:color="auto"/>
                    <w:right w:val="outset" w:sz="6" w:space="0" w:color="auto"/>
                  </w:tcBorders>
                  <w:vAlign w:val="center"/>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100%</w:t>
                  </w:r>
                </w:p>
              </w:tc>
              <w:tc>
                <w:tcPr>
                  <w:tcW w:w="600" w:type="pct"/>
                  <w:tcBorders>
                    <w:top w:val="outset" w:sz="6" w:space="0" w:color="auto"/>
                    <w:left w:val="outset" w:sz="6" w:space="0" w:color="auto"/>
                    <w:bottom w:val="outset" w:sz="6" w:space="0" w:color="auto"/>
                    <w:right w:val="outset" w:sz="6" w:space="0" w:color="auto"/>
                  </w:tcBorders>
                  <w:vAlign w:val="center"/>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100%</w:t>
                  </w:r>
                </w:p>
              </w:tc>
              <w:tc>
                <w:tcPr>
                  <w:tcW w:w="600" w:type="pct"/>
                  <w:tcBorders>
                    <w:top w:val="outset" w:sz="6" w:space="0" w:color="auto"/>
                    <w:left w:val="outset" w:sz="6" w:space="0" w:color="auto"/>
                    <w:bottom w:val="outset" w:sz="6" w:space="0" w:color="auto"/>
                    <w:right w:val="outset" w:sz="6" w:space="0" w:color="auto"/>
                  </w:tcBorders>
                  <w:vAlign w:val="center"/>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150%</w:t>
                  </w:r>
                </w:p>
              </w:tc>
            </w:tr>
          </w:tbl>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Áhættuskuldbindingar fjölþjóða þróunarbanka sem ekki hafa lánshæfismat viðurkennds matsfyrirtækis fá áhættuvog 50%. </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Skammtímaskuldbindingar fjölþjóða þróunarbanka, til skemmri tíma en þriggja mánaða, fá sömu áhættuvog og langtímaskuldbindingar.</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Áhættuskuldbindingar Evrópubandalagsins </w:t>
            </w:r>
            <w:r w:rsidRPr="00447F64">
              <w:rPr>
                <w:rFonts w:ascii="Arial" w:eastAsia="Times New Roman" w:hAnsi="Arial" w:cs="Arial"/>
                <w:i/>
                <w:iCs/>
                <w:sz w:val="24"/>
                <w:szCs w:val="24"/>
                <w:lang w:eastAsia="is-IS"/>
              </w:rPr>
              <w:t>(</w:t>
            </w:r>
            <w:proofErr w:type="spellStart"/>
            <w:r w:rsidRPr="00447F64">
              <w:rPr>
                <w:rFonts w:ascii="Arial" w:eastAsia="Times New Roman" w:hAnsi="Arial" w:cs="Arial"/>
                <w:i/>
                <w:iCs/>
                <w:sz w:val="24"/>
                <w:szCs w:val="24"/>
                <w:lang w:eastAsia="is-IS"/>
              </w:rPr>
              <w:t>the</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European</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Community</w:t>
            </w:r>
            <w:proofErr w:type="spellEnd"/>
            <w:r w:rsidRPr="00447F64">
              <w:rPr>
                <w:rFonts w:ascii="Arial" w:eastAsia="Times New Roman" w:hAnsi="Arial" w:cs="Arial"/>
                <w:i/>
                <w:iCs/>
                <w:sz w:val="24"/>
                <w:szCs w:val="24"/>
                <w:lang w:eastAsia="is-IS"/>
              </w:rPr>
              <w:t>)</w:t>
            </w:r>
            <w:r w:rsidRPr="00447F64">
              <w:rPr>
                <w:rFonts w:ascii="Arial" w:eastAsia="Times New Roman" w:hAnsi="Arial" w:cs="Arial"/>
                <w:sz w:val="24"/>
                <w:szCs w:val="24"/>
                <w:lang w:eastAsia="is-IS"/>
              </w:rPr>
              <w:t>, Alþjóðagjaldeyris</w:t>
            </w:r>
            <w:r w:rsidRPr="00447F64">
              <w:rPr>
                <w:rFonts w:ascii="Arial" w:eastAsia="Times New Roman" w:hAnsi="Arial" w:cs="Arial"/>
                <w:sz w:val="24"/>
                <w:szCs w:val="24"/>
                <w:lang w:eastAsia="is-IS"/>
              </w:rPr>
              <w:softHyphen/>
              <w:t xml:space="preserve">sjóðsins </w:t>
            </w:r>
            <w:r w:rsidRPr="00447F64">
              <w:rPr>
                <w:rFonts w:ascii="Arial" w:eastAsia="Times New Roman" w:hAnsi="Arial" w:cs="Arial"/>
                <w:i/>
                <w:iCs/>
                <w:sz w:val="24"/>
                <w:szCs w:val="24"/>
                <w:lang w:eastAsia="is-IS"/>
              </w:rPr>
              <w:t>(</w:t>
            </w:r>
            <w:proofErr w:type="spellStart"/>
            <w:r w:rsidRPr="00447F64">
              <w:rPr>
                <w:rFonts w:ascii="Arial" w:eastAsia="Times New Roman" w:hAnsi="Arial" w:cs="Arial"/>
                <w:i/>
                <w:iCs/>
                <w:sz w:val="24"/>
                <w:szCs w:val="24"/>
                <w:lang w:eastAsia="is-IS"/>
              </w:rPr>
              <w:t>the</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International</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Monetary</w:t>
            </w:r>
            <w:proofErr w:type="spellEnd"/>
            <w:r w:rsidRPr="00447F64">
              <w:rPr>
                <w:rFonts w:ascii="Arial" w:eastAsia="Times New Roman" w:hAnsi="Arial" w:cs="Arial"/>
                <w:i/>
                <w:iCs/>
                <w:sz w:val="24"/>
                <w:szCs w:val="24"/>
                <w:lang w:eastAsia="is-IS"/>
              </w:rPr>
              <w:t xml:space="preserve"> Fund) </w:t>
            </w:r>
            <w:r w:rsidRPr="00447F64">
              <w:rPr>
                <w:rFonts w:ascii="Arial" w:eastAsia="Times New Roman" w:hAnsi="Arial" w:cs="Arial"/>
                <w:sz w:val="24"/>
                <w:szCs w:val="24"/>
                <w:lang w:eastAsia="is-IS"/>
              </w:rPr>
              <w:t xml:space="preserve">og Alþjóðagreiðslubankans </w:t>
            </w:r>
            <w:r w:rsidRPr="00447F64">
              <w:rPr>
                <w:rFonts w:ascii="Arial" w:eastAsia="Times New Roman" w:hAnsi="Arial" w:cs="Arial"/>
                <w:i/>
                <w:iCs/>
                <w:sz w:val="24"/>
                <w:szCs w:val="24"/>
                <w:lang w:eastAsia="is-IS"/>
              </w:rPr>
              <w:t>(</w:t>
            </w:r>
            <w:proofErr w:type="spellStart"/>
            <w:r w:rsidRPr="00447F64">
              <w:rPr>
                <w:rFonts w:ascii="Arial" w:eastAsia="Times New Roman" w:hAnsi="Arial" w:cs="Arial"/>
                <w:i/>
                <w:iCs/>
                <w:sz w:val="24"/>
                <w:szCs w:val="24"/>
                <w:lang w:eastAsia="is-IS"/>
              </w:rPr>
              <w:t>the</w:t>
            </w:r>
            <w:proofErr w:type="spellEnd"/>
            <w:r w:rsidRPr="00447F64">
              <w:rPr>
                <w:rFonts w:ascii="Arial" w:eastAsia="Times New Roman" w:hAnsi="Arial" w:cs="Arial"/>
                <w:i/>
                <w:iCs/>
                <w:sz w:val="24"/>
                <w:szCs w:val="24"/>
                <w:lang w:eastAsia="is-IS"/>
              </w:rPr>
              <w:t xml:space="preserve"> Bank for </w:t>
            </w:r>
            <w:proofErr w:type="spellStart"/>
            <w:r w:rsidRPr="00447F64">
              <w:rPr>
                <w:rFonts w:ascii="Arial" w:eastAsia="Times New Roman" w:hAnsi="Arial" w:cs="Arial"/>
                <w:i/>
                <w:iCs/>
                <w:sz w:val="24"/>
                <w:szCs w:val="24"/>
                <w:lang w:eastAsia="is-IS"/>
              </w:rPr>
              <w:t>International</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Settlements</w:t>
            </w:r>
            <w:proofErr w:type="spellEnd"/>
            <w:r w:rsidRPr="00447F64">
              <w:rPr>
                <w:rFonts w:ascii="Arial" w:eastAsia="Times New Roman" w:hAnsi="Arial" w:cs="Arial"/>
                <w:i/>
                <w:iCs/>
                <w:sz w:val="24"/>
                <w:szCs w:val="24"/>
                <w:lang w:eastAsia="is-IS"/>
              </w:rPr>
              <w:t>)</w:t>
            </w:r>
            <w:r w:rsidRPr="00447F64">
              <w:rPr>
                <w:rFonts w:ascii="Arial" w:eastAsia="Times New Roman" w:hAnsi="Arial" w:cs="Arial"/>
                <w:sz w:val="24"/>
                <w:szCs w:val="24"/>
                <w:lang w:eastAsia="is-IS"/>
              </w:rPr>
              <w:t xml:space="preserve"> (tegund e.) hafa áhættuvog 0%.</w:t>
            </w:r>
            <w:r w:rsidR="00B576B9" w:rsidRPr="00447F64">
              <w:rPr>
                <w:rFonts w:ascii="Arial" w:eastAsia="Times New Roman" w:hAnsi="Arial" w:cs="Arial"/>
                <w:sz w:val="24"/>
                <w:szCs w:val="24"/>
                <w:lang w:eastAsia="is-IS"/>
              </w:rPr>
              <w:t>]</w:t>
            </w:r>
            <w:r w:rsidR="00B576B9" w:rsidRPr="00447F64">
              <w:rPr>
                <w:rStyle w:val="FootnoteReference"/>
                <w:rFonts w:ascii="Arial" w:eastAsia="Times New Roman" w:hAnsi="Arial" w:cs="Arial"/>
                <w:sz w:val="24"/>
                <w:szCs w:val="24"/>
                <w:lang w:eastAsia="is-IS"/>
              </w:rPr>
              <w:footnoteReference w:id="18"/>
            </w:r>
          </w:p>
          <w:p w:rsidR="008317D6" w:rsidRPr="00447F64" w:rsidRDefault="008317D6" w:rsidP="00E738BF">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15. gr.</w:t>
            </w:r>
          </w:p>
          <w:p w:rsidR="008317D6" w:rsidRPr="00447F64" w:rsidRDefault="008317D6" w:rsidP="00E738BF">
            <w:pPr>
              <w:spacing w:before="100" w:beforeAutospacing="1" w:after="100" w:afterAutospacing="1" w:line="240" w:lineRule="auto"/>
              <w:jc w:val="center"/>
              <w:rPr>
                <w:rFonts w:ascii="Arial" w:eastAsia="Times New Roman" w:hAnsi="Arial" w:cs="Arial"/>
                <w:i/>
                <w:iCs/>
                <w:sz w:val="24"/>
                <w:szCs w:val="24"/>
                <w:lang w:eastAsia="is-IS"/>
              </w:rPr>
            </w:pPr>
            <w:r w:rsidRPr="00447F64">
              <w:rPr>
                <w:rFonts w:ascii="Arial" w:eastAsia="Times New Roman" w:hAnsi="Arial" w:cs="Arial"/>
                <w:i/>
                <w:iCs/>
                <w:sz w:val="24"/>
                <w:szCs w:val="24"/>
                <w:lang w:eastAsia="is-IS"/>
              </w:rPr>
              <w:t>Fjármálafyrirtæki.</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Áhættuskuldbindingar fjármálafyrirtækja (tegund f.) fá áhættuvog sem ræðst af lánshæfismati heimaríkis þeirra samkvæmt eftirfarandi töflu:</w:t>
            </w:r>
          </w:p>
          <w:p w:rsidR="008317D6" w:rsidRPr="00447F64" w:rsidRDefault="008317D6" w:rsidP="00447F64">
            <w:pPr>
              <w:spacing w:before="100" w:beforeAutospacing="1" w:after="100" w:afterAutospacing="1" w:line="240" w:lineRule="auto"/>
              <w:jc w:val="both"/>
              <w:rPr>
                <w:rFonts w:ascii="Arial" w:eastAsia="Times New Roman" w:hAnsi="Arial" w:cs="Arial"/>
                <w:b/>
                <w:bCs/>
                <w:sz w:val="24"/>
                <w:szCs w:val="24"/>
                <w:lang w:eastAsia="is-IS"/>
              </w:rPr>
            </w:pPr>
            <w:r w:rsidRPr="00447F64">
              <w:rPr>
                <w:rFonts w:ascii="Arial" w:eastAsia="Times New Roman" w:hAnsi="Arial" w:cs="Arial"/>
                <w:b/>
                <w:bCs/>
                <w:sz w:val="24"/>
                <w:szCs w:val="24"/>
                <w:lang w:eastAsia="is-IS"/>
              </w:rPr>
              <w:t>Fjármálafyrirtæki</w:t>
            </w:r>
          </w:p>
          <w:tbl>
            <w:tblPr>
              <w:tblW w:w="748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18"/>
              <w:gridCol w:w="973"/>
              <w:gridCol w:w="972"/>
              <w:gridCol w:w="972"/>
              <w:gridCol w:w="972"/>
              <w:gridCol w:w="972"/>
              <w:gridCol w:w="906"/>
            </w:tblGrid>
            <w:tr w:rsidR="008317D6" w:rsidRPr="00447F64">
              <w:trPr>
                <w:tblCellSpacing w:w="7" w:type="dxa"/>
              </w:trPr>
              <w:tc>
                <w:tcPr>
                  <w:tcW w:w="11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Þrep </w:t>
                  </w:r>
                  <w:r w:rsidRPr="00447F64">
                    <w:rPr>
                      <w:rFonts w:ascii="Arial" w:eastAsia="Times New Roman" w:hAnsi="Arial" w:cs="Arial"/>
                      <w:sz w:val="24"/>
                      <w:szCs w:val="24"/>
                      <w:lang w:eastAsia="is-IS"/>
                    </w:rPr>
                    <w:lastRenderedPageBreak/>
                    <w:t>útlánagæða</w:t>
                  </w:r>
                  <w:r w:rsidRPr="00447F64">
                    <w:rPr>
                      <w:rFonts w:ascii="Arial" w:eastAsia="Times New Roman" w:hAnsi="Arial" w:cs="Arial"/>
                      <w:sz w:val="24"/>
                      <w:szCs w:val="24"/>
                      <w:lang w:eastAsia="is-IS"/>
                    </w:rPr>
                    <w:br/>
                    <w:t>fyrir heimaríki</w:t>
                  </w:r>
                </w:p>
              </w:tc>
              <w:tc>
                <w:tcPr>
                  <w:tcW w:w="650" w:type="pct"/>
                  <w:tcBorders>
                    <w:top w:val="outset" w:sz="6" w:space="0" w:color="auto"/>
                    <w:left w:val="outset" w:sz="6" w:space="0" w:color="auto"/>
                    <w:bottom w:val="outset" w:sz="6" w:space="0" w:color="auto"/>
                    <w:right w:val="outset" w:sz="6" w:space="0" w:color="auto"/>
                  </w:tcBorders>
                  <w:vAlign w:val="bottom"/>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lastRenderedPageBreak/>
                    <w:t>1</w:t>
                  </w:r>
                </w:p>
              </w:tc>
              <w:tc>
                <w:tcPr>
                  <w:tcW w:w="650" w:type="pct"/>
                  <w:tcBorders>
                    <w:top w:val="outset" w:sz="6" w:space="0" w:color="auto"/>
                    <w:left w:val="outset" w:sz="6" w:space="0" w:color="auto"/>
                    <w:bottom w:val="outset" w:sz="6" w:space="0" w:color="auto"/>
                    <w:right w:val="outset" w:sz="6" w:space="0" w:color="auto"/>
                  </w:tcBorders>
                  <w:vAlign w:val="bottom"/>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2</w:t>
                  </w:r>
                </w:p>
              </w:tc>
              <w:tc>
                <w:tcPr>
                  <w:tcW w:w="650" w:type="pct"/>
                  <w:tcBorders>
                    <w:top w:val="outset" w:sz="6" w:space="0" w:color="auto"/>
                    <w:left w:val="outset" w:sz="6" w:space="0" w:color="auto"/>
                    <w:bottom w:val="outset" w:sz="6" w:space="0" w:color="auto"/>
                    <w:right w:val="outset" w:sz="6" w:space="0" w:color="auto"/>
                  </w:tcBorders>
                  <w:vAlign w:val="bottom"/>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3</w:t>
                  </w:r>
                </w:p>
              </w:tc>
              <w:tc>
                <w:tcPr>
                  <w:tcW w:w="650" w:type="pct"/>
                  <w:tcBorders>
                    <w:top w:val="outset" w:sz="6" w:space="0" w:color="auto"/>
                    <w:left w:val="outset" w:sz="6" w:space="0" w:color="auto"/>
                    <w:bottom w:val="outset" w:sz="6" w:space="0" w:color="auto"/>
                    <w:right w:val="outset" w:sz="6" w:space="0" w:color="auto"/>
                  </w:tcBorders>
                  <w:vAlign w:val="bottom"/>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4</w:t>
                  </w:r>
                </w:p>
              </w:tc>
              <w:tc>
                <w:tcPr>
                  <w:tcW w:w="650" w:type="pct"/>
                  <w:tcBorders>
                    <w:top w:val="outset" w:sz="6" w:space="0" w:color="auto"/>
                    <w:left w:val="outset" w:sz="6" w:space="0" w:color="auto"/>
                    <w:bottom w:val="outset" w:sz="6" w:space="0" w:color="auto"/>
                    <w:right w:val="outset" w:sz="6" w:space="0" w:color="auto"/>
                  </w:tcBorders>
                  <w:vAlign w:val="bottom"/>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5</w:t>
                  </w:r>
                </w:p>
              </w:tc>
              <w:tc>
                <w:tcPr>
                  <w:tcW w:w="650" w:type="pct"/>
                  <w:tcBorders>
                    <w:top w:val="outset" w:sz="6" w:space="0" w:color="auto"/>
                    <w:left w:val="outset" w:sz="6" w:space="0" w:color="auto"/>
                    <w:bottom w:val="outset" w:sz="6" w:space="0" w:color="auto"/>
                    <w:right w:val="outset" w:sz="6" w:space="0" w:color="auto"/>
                  </w:tcBorders>
                  <w:vAlign w:val="bottom"/>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6</w:t>
                  </w:r>
                </w:p>
              </w:tc>
            </w:tr>
            <w:tr w:rsidR="008317D6" w:rsidRPr="00447F64">
              <w:trPr>
                <w:tblCellSpacing w:w="7" w:type="dxa"/>
              </w:trPr>
              <w:tc>
                <w:tcPr>
                  <w:tcW w:w="11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lastRenderedPageBreak/>
                    <w:t>Áhættuvog</w:t>
                  </w:r>
                </w:p>
              </w:tc>
              <w:tc>
                <w:tcPr>
                  <w:tcW w:w="6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20%</w:t>
                  </w:r>
                </w:p>
              </w:tc>
              <w:tc>
                <w:tcPr>
                  <w:tcW w:w="6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50%</w:t>
                  </w:r>
                </w:p>
              </w:tc>
              <w:tc>
                <w:tcPr>
                  <w:tcW w:w="6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100%</w:t>
                  </w:r>
                </w:p>
              </w:tc>
              <w:tc>
                <w:tcPr>
                  <w:tcW w:w="6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100%</w:t>
                  </w:r>
                </w:p>
              </w:tc>
              <w:tc>
                <w:tcPr>
                  <w:tcW w:w="6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100%</w:t>
                  </w:r>
                </w:p>
              </w:tc>
              <w:tc>
                <w:tcPr>
                  <w:tcW w:w="6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150%</w:t>
                  </w:r>
                </w:p>
              </w:tc>
            </w:tr>
          </w:tbl>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Hafi heimaríkið ekki lánshæfismat skal áhættuvog fjármálafyrirtækisins ekki vera hærri en 100%.</w:t>
            </w:r>
          </w:p>
          <w:p w:rsidR="008317D6" w:rsidRPr="00447F64" w:rsidRDefault="008317D6" w:rsidP="00447F64">
            <w:pPr>
              <w:pStyle w:val="NormalWeb"/>
              <w:jc w:val="both"/>
              <w:rPr>
                <w:rFonts w:ascii="Arial" w:hAnsi="Arial" w:cs="Arial"/>
              </w:rPr>
            </w:pPr>
            <w:r w:rsidRPr="00447F64">
              <w:rPr>
                <w:rFonts w:ascii="Arial" w:hAnsi="Arial" w:cs="Arial"/>
              </w:rPr>
              <w:t>Skammtíma áhættuskuldbindingar fjármálafyrirtækja með gjalddaga innan þriggja mánaða hafa áhættuvog 20%.</w:t>
            </w:r>
            <w:r w:rsidR="00786B63" w:rsidRPr="00447F64">
              <w:rPr>
                <w:rFonts w:ascii="Arial" w:hAnsi="Arial" w:cs="Arial"/>
              </w:rPr>
              <w:t xml:space="preserve"> </w:t>
            </w:r>
            <w:r w:rsidR="00B576B9" w:rsidRPr="00447F64">
              <w:rPr>
                <w:rFonts w:ascii="Arial" w:hAnsi="Arial" w:cs="Arial"/>
              </w:rPr>
              <w:t>[</w:t>
            </w:r>
            <w:r w:rsidR="00786B63" w:rsidRPr="00447F64">
              <w:rPr>
                <w:rFonts w:ascii="Arial" w:hAnsi="Arial" w:cs="Arial"/>
              </w:rPr>
              <w:t>Áhættuskuldbindingar fjármálafyrirtækja, sem ekki hafa lánshæfismat, skulu þó ekki hafa lægri áhættuvog en áhættuskuldbindingar heimaríkis þeirra hafa.</w:t>
            </w:r>
            <w:r w:rsidR="00B576B9" w:rsidRPr="00447F64">
              <w:rPr>
                <w:rFonts w:ascii="Arial" w:hAnsi="Arial" w:cs="Arial"/>
              </w:rPr>
              <w:t>]</w:t>
            </w:r>
            <w:r w:rsidR="00B576B9" w:rsidRPr="00447F64">
              <w:rPr>
                <w:rStyle w:val="FootnoteReference"/>
                <w:rFonts w:ascii="Arial" w:hAnsi="Arial" w:cs="Arial"/>
              </w:rPr>
              <w:footnoteReference w:id="19"/>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Hlutafé í fjármálafyrirtækjum hefur áhættuvog 100%, þrátt fyrir ákvæði þessarar greinar, enda dregst það ekki frá eiginfjárgrunni.</w:t>
            </w:r>
          </w:p>
          <w:p w:rsidR="008317D6" w:rsidRPr="00447F64" w:rsidRDefault="008317D6" w:rsidP="00E738BF">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16. gr.</w:t>
            </w:r>
          </w:p>
          <w:p w:rsidR="008317D6" w:rsidRPr="00447F64" w:rsidRDefault="008317D6" w:rsidP="00E738BF">
            <w:pPr>
              <w:spacing w:before="100" w:beforeAutospacing="1" w:after="100" w:afterAutospacing="1" w:line="240" w:lineRule="auto"/>
              <w:jc w:val="center"/>
              <w:rPr>
                <w:rFonts w:ascii="Arial" w:eastAsia="Times New Roman" w:hAnsi="Arial" w:cs="Arial"/>
                <w:i/>
                <w:iCs/>
                <w:sz w:val="24"/>
                <w:szCs w:val="24"/>
                <w:lang w:eastAsia="is-IS"/>
              </w:rPr>
            </w:pPr>
            <w:r w:rsidRPr="00447F64">
              <w:rPr>
                <w:rFonts w:ascii="Arial" w:eastAsia="Times New Roman" w:hAnsi="Arial" w:cs="Arial"/>
                <w:i/>
                <w:iCs/>
                <w:sz w:val="24"/>
                <w:szCs w:val="24"/>
                <w:lang w:eastAsia="is-IS"/>
              </w:rPr>
              <w:t>Fyrirtæki.</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Áhættuskuldbindingar fyrirtækja (tegund g.) sem ekki falla undir 15. gr. (um fjármálafyrirtæki) og ekki hafa lánshæfismat frá viðurkenndu matsfyrirtæki hafa áhættuvog 100%. Hafi heimaríki fyrirtækisins hærri áhættuvog (sbr. áhættutegund a.) skal hún þó einnig notuð fyrir fyrirtækið.</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Hafi áhættuskuldbindingin lánshæfismat frá viðurkenndu matsfyrirtæki fær hún áhættu</w:t>
            </w:r>
            <w:r w:rsidRPr="00447F64">
              <w:rPr>
                <w:rFonts w:ascii="Arial" w:eastAsia="Times New Roman" w:hAnsi="Arial" w:cs="Arial"/>
                <w:sz w:val="24"/>
                <w:szCs w:val="24"/>
                <w:lang w:eastAsia="is-IS"/>
              </w:rPr>
              <w:softHyphen/>
              <w:t>vog eins og eftirfarandi tafla sýnir:</w:t>
            </w:r>
          </w:p>
          <w:p w:rsidR="008317D6" w:rsidRPr="00447F64" w:rsidRDefault="008317D6" w:rsidP="00447F64">
            <w:pPr>
              <w:spacing w:before="100" w:beforeAutospacing="1" w:after="100" w:afterAutospacing="1" w:line="240" w:lineRule="auto"/>
              <w:jc w:val="both"/>
              <w:rPr>
                <w:rFonts w:ascii="Arial" w:eastAsia="Times New Roman" w:hAnsi="Arial" w:cs="Arial"/>
                <w:b/>
                <w:bCs/>
                <w:sz w:val="24"/>
                <w:szCs w:val="24"/>
                <w:lang w:eastAsia="is-IS"/>
              </w:rPr>
            </w:pPr>
            <w:r w:rsidRPr="00447F64">
              <w:rPr>
                <w:rFonts w:ascii="Arial" w:eastAsia="Times New Roman" w:hAnsi="Arial" w:cs="Arial"/>
                <w:b/>
                <w:bCs/>
                <w:sz w:val="24"/>
                <w:szCs w:val="24"/>
                <w:lang w:eastAsia="is-IS"/>
              </w:rPr>
              <w:t>Fyrirtæki</w:t>
            </w:r>
          </w:p>
          <w:tbl>
            <w:tblPr>
              <w:tblW w:w="748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18"/>
              <w:gridCol w:w="973"/>
              <w:gridCol w:w="972"/>
              <w:gridCol w:w="972"/>
              <w:gridCol w:w="972"/>
              <w:gridCol w:w="972"/>
              <w:gridCol w:w="906"/>
            </w:tblGrid>
            <w:tr w:rsidR="008317D6" w:rsidRPr="00447F64">
              <w:trPr>
                <w:tblCellSpacing w:w="7" w:type="dxa"/>
              </w:trPr>
              <w:tc>
                <w:tcPr>
                  <w:tcW w:w="11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Þrep útlánagæða</w:t>
                  </w:r>
                </w:p>
              </w:tc>
              <w:tc>
                <w:tcPr>
                  <w:tcW w:w="6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1</w:t>
                  </w:r>
                </w:p>
              </w:tc>
              <w:tc>
                <w:tcPr>
                  <w:tcW w:w="6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2</w:t>
                  </w:r>
                </w:p>
              </w:tc>
              <w:tc>
                <w:tcPr>
                  <w:tcW w:w="6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3</w:t>
                  </w:r>
                </w:p>
              </w:tc>
              <w:tc>
                <w:tcPr>
                  <w:tcW w:w="6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4</w:t>
                  </w:r>
                </w:p>
              </w:tc>
              <w:tc>
                <w:tcPr>
                  <w:tcW w:w="6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5</w:t>
                  </w:r>
                </w:p>
              </w:tc>
              <w:tc>
                <w:tcPr>
                  <w:tcW w:w="6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6</w:t>
                  </w:r>
                </w:p>
              </w:tc>
            </w:tr>
            <w:tr w:rsidR="008317D6" w:rsidRPr="00447F64">
              <w:trPr>
                <w:tblCellSpacing w:w="7" w:type="dxa"/>
              </w:trPr>
              <w:tc>
                <w:tcPr>
                  <w:tcW w:w="11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Áhættuvog</w:t>
                  </w:r>
                </w:p>
              </w:tc>
              <w:tc>
                <w:tcPr>
                  <w:tcW w:w="6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20%</w:t>
                  </w:r>
                </w:p>
              </w:tc>
              <w:tc>
                <w:tcPr>
                  <w:tcW w:w="6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50%</w:t>
                  </w:r>
                </w:p>
              </w:tc>
              <w:tc>
                <w:tcPr>
                  <w:tcW w:w="6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100%</w:t>
                  </w:r>
                </w:p>
              </w:tc>
              <w:tc>
                <w:tcPr>
                  <w:tcW w:w="6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100%</w:t>
                  </w:r>
                </w:p>
              </w:tc>
              <w:tc>
                <w:tcPr>
                  <w:tcW w:w="6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150%</w:t>
                  </w:r>
                </w:p>
              </w:tc>
              <w:tc>
                <w:tcPr>
                  <w:tcW w:w="6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150%</w:t>
                  </w:r>
                </w:p>
              </w:tc>
            </w:tr>
          </w:tbl>
          <w:p w:rsidR="008317D6" w:rsidRPr="00447F64" w:rsidRDefault="008317D6" w:rsidP="00E738BF">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17. gr.</w:t>
            </w:r>
          </w:p>
          <w:p w:rsidR="008317D6" w:rsidRPr="00447F64" w:rsidRDefault="008317D6" w:rsidP="00E738BF">
            <w:pPr>
              <w:spacing w:before="100" w:beforeAutospacing="1" w:after="100" w:afterAutospacing="1" w:line="240" w:lineRule="auto"/>
              <w:jc w:val="center"/>
              <w:rPr>
                <w:rFonts w:ascii="Arial" w:eastAsia="Times New Roman" w:hAnsi="Arial" w:cs="Arial"/>
                <w:i/>
                <w:iCs/>
                <w:sz w:val="24"/>
                <w:szCs w:val="24"/>
                <w:lang w:eastAsia="is-IS"/>
              </w:rPr>
            </w:pPr>
            <w:r w:rsidRPr="00447F64">
              <w:rPr>
                <w:rFonts w:ascii="Arial" w:eastAsia="Times New Roman" w:hAnsi="Arial" w:cs="Arial"/>
                <w:i/>
                <w:iCs/>
                <w:sz w:val="24"/>
                <w:szCs w:val="24"/>
                <w:lang w:eastAsia="is-IS"/>
              </w:rPr>
              <w:t>Einstaklingar, lítil og meðalstór fyrirtæki.</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Áhættuskuldbindingar einstaklinga, lítilla og meðalstórra fyrirtækja (tegund h.) mega hafa áhættuvog 75%, ef þær uppfylla öll eftirtalin skilyrði:</w:t>
            </w:r>
          </w:p>
          <w:p w:rsidR="008317D6" w:rsidRPr="00447F64" w:rsidRDefault="008317D6" w:rsidP="00447F64">
            <w:pPr>
              <w:numPr>
                <w:ilvl w:val="0"/>
                <w:numId w:val="15"/>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Áhættuskuldbindingin sé gagnvart einstaklingi eða einstaklingum, eða litlu eða meðalstóru fyrirtæki, </w:t>
            </w:r>
          </w:p>
          <w:p w:rsidR="008317D6" w:rsidRPr="00447F64" w:rsidRDefault="008317D6" w:rsidP="00447F64">
            <w:pPr>
              <w:numPr>
                <w:ilvl w:val="0"/>
                <w:numId w:val="15"/>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áhættuskuldbindingin sé ein margra hliðstæðra áhættuskuldbindinga með svipuð einkenni, þannig að áhætta af safninu sé verulega minni að tiltölu en af einstökum áhættuskuldbindingum, </w:t>
            </w:r>
          </w:p>
          <w:p w:rsidR="008317D6" w:rsidRPr="00447F64" w:rsidRDefault="00B576B9" w:rsidP="00447F64">
            <w:pPr>
              <w:numPr>
                <w:ilvl w:val="0"/>
                <w:numId w:val="15"/>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hAnsi="Arial" w:cs="Arial"/>
                <w:sz w:val="24"/>
                <w:szCs w:val="24"/>
              </w:rPr>
              <w:t>[</w:t>
            </w:r>
            <w:r w:rsidR="008317D6" w:rsidRPr="00447F64">
              <w:rPr>
                <w:rFonts w:ascii="Arial" w:hAnsi="Arial" w:cs="Arial"/>
                <w:sz w:val="24"/>
                <w:szCs w:val="24"/>
              </w:rPr>
              <w:t xml:space="preserve">ádregin heildaráhættuskuldbinding lítilla og meðalstórra fyrirtækja og tengdra aðila gagnvart samstæðu sem fjármálafyrirtækið tilheyrir má ekki </w:t>
            </w:r>
            <w:r w:rsidR="008317D6" w:rsidRPr="00447F64">
              <w:rPr>
                <w:rFonts w:ascii="Arial" w:hAnsi="Arial" w:cs="Arial"/>
                <w:sz w:val="24"/>
                <w:szCs w:val="24"/>
              </w:rPr>
              <w:lastRenderedPageBreak/>
              <w:t>vera meiri en jafnvirði 1 milljónar evra miðað við opinbert viðmiðunargengi evru eins og það er á hverjum tíma, að undanskildum áhættuskuldbindingum með veði í íbúðar</w:t>
            </w:r>
            <w:r w:rsidR="008317D6" w:rsidRPr="00447F64">
              <w:rPr>
                <w:rFonts w:ascii="Arial" w:hAnsi="Arial" w:cs="Arial"/>
                <w:sz w:val="24"/>
                <w:szCs w:val="24"/>
              </w:rPr>
              <w:softHyphen/>
              <w:t>húsnæði.</w:t>
            </w:r>
            <w:r w:rsidRPr="00447F64">
              <w:rPr>
                <w:rFonts w:ascii="Arial" w:hAnsi="Arial" w:cs="Arial"/>
                <w:sz w:val="24"/>
                <w:szCs w:val="24"/>
              </w:rPr>
              <w:t>]</w:t>
            </w:r>
            <w:r w:rsidRPr="00447F64">
              <w:rPr>
                <w:rStyle w:val="FootnoteReference"/>
                <w:rFonts w:ascii="Arial" w:hAnsi="Arial" w:cs="Arial"/>
                <w:sz w:val="24"/>
                <w:szCs w:val="24"/>
              </w:rPr>
              <w:footnoteReference w:id="20"/>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Markaðsverðbréf </w:t>
            </w:r>
            <w:r w:rsidRPr="00447F64">
              <w:rPr>
                <w:rFonts w:ascii="Arial" w:eastAsia="Times New Roman" w:hAnsi="Arial" w:cs="Arial"/>
                <w:i/>
                <w:iCs/>
                <w:sz w:val="24"/>
                <w:szCs w:val="24"/>
                <w:lang w:eastAsia="is-IS"/>
              </w:rPr>
              <w:t>(e. securities)</w:t>
            </w:r>
            <w:r w:rsidRPr="00447F64">
              <w:rPr>
                <w:rFonts w:ascii="Arial" w:eastAsia="Times New Roman" w:hAnsi="Arial" w:cs="Arial"/>
                <w:sz w:val="24"/>
                <w:szCs w:val="24"/>
                <w:lang w:eastAsia="is-IS"/>
              </w:rPr>
              <w:t xml:space="preserve"> geta ekki talist til þessarar tegundar.</w:t>
            </w:r>
          </w:p>
          <w:p w:rsidR="008317D6" w:rsidRPr="00447F64" w:rsidRDefault="008317D6" w:rsidP="00E738BF">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18. gr.</w:t>
            </w:r>
          </w:p>
          <w:p w:rsidR="008317D6" w:rsidRPr="00447F64" w:rsidRDefault="008317D6" w:rsidP="00E738BF">
            <w:pPr>
              <w:spacing w:before="100" w:beforeAutospacing="1" w:after="100" w:afterAutospacing="1" w:line="240" w:lineRule="auto"/>
              <w:jc w:val="center"/>
              <w:rPr>
                <w:rFonts w:ascii="Arial" w:eastAsia="Times New Roman" w:hAnsi="Arial" w:cs="Arial"/>
                <w:i/>
                <w:iCs/>
                <w:sz w:val="24"/>
                <w:szCs w:val="24"/>
                <w:lang w:eastAsia="is-IS"/>
              </w:rPr>
            </w:pPr>
            <w:r w:rsidRPr="00447F64">
              <w:rPr>
                <w:rFonts w:ascii="Arial" w:eastAsia="Times New Roman" w:hAnsi="Arial" w:cs="Arial"/>
                <w:i/>
                <w:iCs/>
                <w:sz w:val="24"/>
                <w:szCs w:val="24"/>
                <w:lang w:eastAsia="is-IS"/>
              </w:rPr>
              <w:t>Fasteignaveðlán.</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Fasteignaveðlán hafa áhættuvog 100% nema kveðið sé á um annað í þessari grein.</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Áhættuvog 35% má nota á lán tryggð að fullu með veði í fullbúnu íbúðarhúsnæði á Íslandi, sem er eða mun verða notað af </w:t>
            </w:r>
            <w:r w:rsidR="00B576B9" w:rsidRPr="00447F64">
              <w:rPr>
                <w:rFonts w:ascii="Arial" w:eastAsia="Times New Roman" w:hAnsi="Arial" w:cs="Arial"/>
                <w:sz w:val="24"/>
                <w:szCs w:val="24"/>
                <w:lang w:eastAsia="is-IS"/>
              </w:rPr>
              <w:t>[</w:t>
            </w:r>
            <w:r w:rsidRPr="00447F64">
              <w:rPr>
                <w:rFonts w:ascii="Arial" w:eastAsia="Times New Roman" w:hAnsi="Arial" w:cs="Arial"/>
                <w:sz w:val="24"/>
                <w:szCs w:val="24"/>
                <w:lang w:eastAsia="is-IS"/>
              </w:rPr>
              <w:t>eiganda húsnæðisins</w:t>
            </w:r>
            <w:r w:rsidR="00B576B9" w:rsidRPr="00447F64">
              <w:rPr>
                <w:rFonts w:ascii="Arial" w:eastAsia="Times New Roman" w:hAnsi="Arial" w:cs="Arial"/>
                <w:sz w:val="24"/>
                <w:szCs w:val="24"/>
                <w:lang w:eastAsia="is-IS"/>
              </w:rPr>
              <w:t>]</w:t>
            </w:r>
            <w:r w:rsidR="00B576B9" w:rsidRPr="00447F64">
              <w:rPr>
                <w:rStyle w:val="FootnoteReference"/>
                <w:rFonts w:ascii="Arial" w:eastAsia="Times New Roman" w:hAnsi="Arial" w:cs="Arial"/>
                <w:sz w:val="24"/>
                <w:szCs w:val="24"/>
                <w:lang w:eastAsia="is-IS"/>
              </w:rPr>
              <w:footnoteReference w:id="21"/>
            </w:r>
            <w:r w:rsidRPr="00447F64">
              <w:rPr>
                <w:rFonts w:ascii="Arial" w:eastAsia="Times New Roman" w:hAnsi="Arial" w:cs="Arial"/>
                <w:sz w:val="24"/>
                <w:szCs w:val="24"/>
                <w:lang w:eastAsia="is-IS"/>
              </w:rPr>
              <w:t xml:space="preserve"> til íbúðar eða útleigu. Þetta á við um lán eða hluta láns sem er innan 80% af fasteignamati Fasteignamats ríkisins eða markaðsverði, eftir því hvort reynist lægra. Heimilt er með samþykki Fjármálaeftirlitsins að nota annað kerfisbundið mat en fasteignamat Fasteignamats ríkisins enda uppfyllir það kröfur sem tilgreindar eru í viðauka VIII skv. 55. gr. A. Þessa áhættuvog má einnig nota á lán tryggð með veði í íbúðarhúsnæði í öðrum aðildarríkjum EES ef reglur í viðkomandi aðildarríki leyfa.</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Forsendur þess að nota megi 35% áhættuvog eru þessar:</w:t>
            </w:r>
          </w:p>
          <w:p w:rsidR="008317D6" w:rsidRPr="00447F64" w:rsidRDefault="008317D6" w:rsidP="00447F64">
            <w:pPr>
              <w:numPr>
                <w:ilvl w:val="0"/>
                <w:numId w:val="16"/>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Að verðmæti eignarinnar sé ekki háð lánshæfi lántakanda. Þetta ákvæði á ekki við þegar um er að ræða þjóðhagslegar breytingar sem hafa áhrif á bæði verðmæti eignarinnar og greiðslugetu lántakanda, </w:t>
            </w:r>
          </w:p>
          <w:p w:rsidR="008317D6" w:rsidRPr="00447F64" w:rsidRDefault="008317D6" w:rsidP="00447F64">
            <w:pPr>
              <w:numPr>
                <w:ilvl w:val="0"/>
                <w:numId w:val="16"/>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að greiðslugeta lántakanda sé ekki verulega háð tekjum af eigninni, </w:t>
            </w:r>
          </w:p>
          <w:p w:rsidR="008317D6" w:rsidRPr="00447F64" w:rsidRDefault="008317D6" w:rsidP="00447F64">
            <w:pPr>
              <w:numPr>
                <w:ilvl w:val="0"/>
                <w:numId w:val="16"/>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að fylgt sé ákvæðum í viðauka VIII skv. 55. gr. A, um form og mat á veðinu.</w:t>
            </w:r>
          </w:p>
          <w:p w:rsidR="008317D6" w:rsidRPr="00447F64" w:rsidRDefault="00B576B9" w:rsidP="00447F64">
            <w:pPr>
              <w:pStyle w:val="NormalWeb"/>
              <w:jc w:val="both"/>
              <w:rPr>
                <w:rFonts w:ascii="Arial" w:hAnsi="Arial" w:cs="Arial"/>
              </w:rPr>
            </w:pPr>
            <w:r w:rsidRPr="00447F64">
              <w:rPr>
                <w:rFonts w:ascii="Arial" w:hAnsi="Arial" w:cs="Arial"/>
              </w:rPr>
              <w:t>[</w:t>
            </w:r>
            <w:r w:rsidR="008317D6" w:rsidRPr="00447F64">
              <w:rPr>
                <w:rFonts w:ascii="Arial" w:hAnsi="Arial" w:cs="Arial"/>
              </w:rPr>
              <w:t>Áhættuvog 50% má nota á lán tryggð að fullu með veði í viðskiptahúsnæði á Íslandi.</w:t>
            </w:r>
            <w:r w:rsidRPr="00447F64">
              <w:rPr>
                <w:rFonts w:ascii="Arial" w:hAnsi="Arial" w:cs="Arial"/>
              </w:rPr>
              <w:t>]</w:t>
            </w:r>
            <w:r w:rsidRPr="00447F64">
              <w:rPr>
                <w:rStyle w:val="FootnoteReference"/>
                <w:rFonts w:ascii="Arial" w:hAnsi="Arial" w:cs="Arial"/>
              </w:rPr>
              <w:footnoteReference w:id="22"/>
            </w:r>
            <w:r w:rsidR="008317D6" w:rsidRPr="00447F64">
              <w:rPr>
                <w:rFonts w:ascii="Arial" w:hAnsi="Arial" w:cs="Arial"/>
              </w:rPr>
              <w:t xml:space="preserve"> Þetta á við um lán eða hluta láns sem er innan 50% af fasteignamati Fasteignamats ríkisins eða markaðsverði eftir því hvort reynist lægra. Heimilt er með samþykki Fjármálaeftirlitsins að nota annað kerfisbundið mat en fasteignamat Fasteignamats ríkisins enda uppfyllir það kröfur sem tilgreindar eru í viðauka VIII skv. 55. gr. A. Það sem umfram er fær áhættuvog 100%. Þessa áhættuvog má einnig nota á lán tryggð með veði í viðskiptahúsnæði í öðrum aðildarríkjum EES ef reglur í viðkomandi aðildarríki leyfa.</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Forsendur þess að nota megi 50% áhættuvog eru þessar:</w:t>
            </w:r>
          </w:p>
          <w:p w:rsidR="008317D6" w:rsidRPr="00447F64" w:rsidRDefault="008317D6" w:rsidP="00447F64">
            <w:pPr>
              <w:numPr>
                <w:ilvl w:val="0"/>
                <w:numId w:val="17"/>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Að verðmæti eignarinnar sé ekki háð lánshæfi lántakanda. Þetta ákvæði á ekki við þegar um er að ræða þjóðhagslegar breytingar sem hafa áhrif á bæði verðmæti eignarinnar og greiðslugetu lántakanda, </w:t>
            </w:r>
          </w:p>
          <w:p w:rsidR="008317D6" w:rsidRPr="00447F64" w:rsidRDefault="008317D6" w:rsidP="00447F64">
            <w:pPr>
              <w:numPr>
                <w:ilvl w:val="0"/>
                <w:numId w:val="17"/>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lastRenderedPageBreak/>
              <w:t xml:space="preserve">að greiðslugeta lántakanda sé ekki verulega háð tekjum af eigninni, </w:t>
            </w:r>
          </w:p>
          <w:p w:rsidR="008317D6" w:rsidRPr="00447F64" w:rsidRDefault="008317D6" w:rsidP="00447F64">
            <w:pPr>
              <w:numPr>
                <w:ilvl w:val="0"/>
                <w:numId w:val="17"/>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að fylgt sé ákvæðum í viðauka VIII skv. 55. gr. A um form og mat á veðinu.</w:t>
            </w:r>
          </w:p>
          <w:p w:rsidR="008317D6" w:rsidRPr="00447F64" w:rsidRDefault="008317D6" w:rsidP="00E738BF">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19. gr.</w:t>
            </w:r>
          </w:p>
          <w:p w:rsidR="008317D6" w:rsidRPr="00447F64" w:rsidRDefault="008317D6" w:rsidP="00E738BF">
            <w:pPr>
              <w:spacing w:before="100" w:beforeAutospacing="1" w:after="100" w:afterAutospacing="1" w:line="240" w:lineRule="auto"/>
              <w:jc w:val="center"/>
              <w:rPr>
                <w:rFonts w:ascii="Arial" w:eastAsia="Times New Roman" w:hAnsi="Arial" w:cs="Arial"/>
                <w:i/>
                <w:iCs/>
                <w:sz w:val="24"/>
                <w:szCs w:val="24"/>
                <w:lang w:eastAsia="is-IS"/>
              </w:rPr>
            </w:pPr>
            <w:r w:rsidRPr="00447F64">
              <w:rPr>
                <w:rFonts w:ascii="Arial" w:eastAsia="Times New Roman" w:hAnsi="Arial" w:cs="Arial"/>
                <w:i/>
                <w:iCs/>
                <w:sz w:val="24"/>
                <w:szCs w:val="24"/>
                <w:lang w:eastAsia="is-IS"/>
              </w:rPr>
              <w:t>Vanskil.</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Hafi áhættukrafa verið lengur en 90 daga í vanskilum og niðurfærsla heildarkröfunnar er lægri en 20% skal ótryggður hluti hennar að frádreginni niðurfærslu hafa áhættuvog 150%. Ef niðurfærsla heildarkröfunnar er 20% eða hærri skal ótryggður hluti hennar að frádreginni niðurfærslu hafa áhættuvog 100%. Tryggður hluti kröfu er skilgreindur sem sá hluti sem tryggður er með viðurkenndum veðum og ábyrgðum samkvæmt ákvæðum VII. kafla um mildun útlánaáhættu.</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Lán með veði í íbúðarhúsnæði, sem uppfylla skilyrði 2. og 3. mgr. 18. gr., sem verið hafa í vanskilum lengur en 90 daga fá áhættuvog 100%. Ef niðurfærslur nema 20% eða meira af heildarkröfunni má nota 50% áhættuvog á hana að frádreginni niðurfærslu.</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Lán með veði í viðskiptahúsnæði, sem uppfylla skilyrði 4. og 5. mgr. 18. gr., sem verið hafa í vanskilum lengur en 90 daga fá áhættuvog 100%.</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Hærra áhættuvægi samkvæmt 1. - 3. mgr. nær til höfuðstóls kröfu sem er í skilum auk vanskila.</w:t>
            </w:r>
          </w:p>
          <w:p w:rsidR="008317D6" w:rsidRPr="00447F64" w:rsidRDefault="008317D6" w:rsidP="00E738BF">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20. gr.</w:t>
            </w:r>
          </w:p>
          <w:p w:rsidR="008317D6" w:rsidRPr="00447F64" w:rsidRDefault="008317D6" w:rsidP="00E738BF">
            <w:pPr>
              <w:spacing w:before="100" w:beforeAutospacing="1" w:after="100" w:afterAutospacing="1" w:line="240" w:lineRule="auto"/>
              <w:jc w:val="center"/>
              <w:rPr>
                <w:rFonts w:ascii="Arial" w:eastAsia="Times New Roman" w:hAnsi="Arial" w:cs="Arial"/>
                <w:i/>
                <w:iCs/>
                <w:sz w:val="24"/>
                <w:szCs w:val="24"/>
                <w:lang w:eastAsia="is-IS"/>
              </w:rPr>
            </w:pPr>
            <w:r w:rsidRPr="00447F64">
              <w:rPr>
                <w:rFonts w:ascii="Arial" w:eastAsia="Times New Roman" w:hAnsi="Arial" w:cs="Arial"/>
                <w:i/>
                <w:iCs/>
                <w:sz w:val="24"/>
                <w:szCs w:val="24"/>
                <w:lang w:eastAsia="is-IS"/>
              </w:rPr>
              <w:t>Sérlega áhættusamar kröfur.</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Sérlega áhættusamar kröfur, s.s. sprota- og framtaksfjárfestingar </w:t>
            </w:r>
            <w:r w:rsidRPr="00447F64">
              <w:rPr>
                <w:rFonts w:ascii="Arial" w:eastAsia="Times New Roman" w:hAnsi="Arial" w:cs="Arial"/>
                <w:i/>
                <w:iCs/>
                <w:sz w:val="24"/>
                <w:szCs w:val="24"/>
                <w:lang w:eastAsia="is-IS"/>
              </w:rPr>
              <w:t xml:space="preserve">(e. </w:t>
            </w:r>
            <w:proofErr w:type="spellStart"/>
            <w:r w:rsidRPr="00447F64">
              <w:rPr>
                <w:rFonts w:ascii="Arial" w:eastAsia="Times New Roman" w:hAnsi="Arial" w:cs="Arial"/>
                <w:i/>
                <w:iCs/>
                <w:sz w:val="24"/>
                <w:szCs w:val="24"/>
                <w:lang w:eastAsia="is-IS"/>
              </w:rPr>
              <w:t>venture</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captial</w:t>
            </w:r>
            <w:proofErr w:type="spellEnd"/>
            <w:r w:rsidRPr="00447F64">
              <w:rPr>
                <w:rFonts w:ascii="Arial" w:eastAsia="Times New Roman" w:hAnsi="Arial" w:cs="Arial"/>
                <w:i/>
                <w:iCs/>
                <w:sz w:val="24"/>
                <w:szCs w:val="24"/>
                <w:lang w:eastAsia="is-IS"/>
              </w:rPr>
              <w:t xml:space="preserve"> and </w:t>
            </w:r>
            <w:proofErr w:type="spellStart"/>
            <w:r w:rsidRPr="00447F64">
              <w:rPr>
                <w:rFonts w:ascii="Arial" w:eastAsia="Times New Roman" w:hAnsi="Arial" w:cs="Arial"/>
                <w:i/>
                <w:iCs/>
                <w:sz w:val="24"/>
                <w:szCs w:val="24"/>
                <w:lang w:eastAsia="is-IS"/>
              </w:rPr>
              <w:t>private</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equity</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investments</w:t>
            </w:r>
            <w:proofErr w:type="spellEnd"/>
            <w:r w:rsidRPr="00447F64">
              <w:rPr>
                <w:rFonts w:ascii="Arial" w:eastAsia="Times New Roman" w:hAnsi="Arial" w:cs="Arial"/>
                <w:i/>
                <w:iCs/>
                <w:sz w:val="24"/>
                <w:szCs w:val="24"/>
                <w:lang w:eastAsia="is-IS"/>
              </w:rPr>
              <w:t>)</w:t>
            </w:r>
            <w:r w:rsidRPr="00447F64">
              <w:rPr>
                <w:rFonts w:ascii="Arial" w:eastAsia="Times New Roman" w:hAnsi="Arial" w:cs="Arial"/>
                <w:sz w:val="24"/>
                <w:szCs w:val="24"/>
                <w:lang w:eastAsia="is-IS"/>
              </w:rPr>
              <w:t>, fá áhættuvog 150%.</w:t>
            </w:r>
          </w:p>
          <w:p w:rsidR="008317D6" w:rsidRPr="00447F64" w:rsidRDefault="008317D6" w:rsidP="00E738BF">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21. gr.</w:t>
            </w:r>
          </w:p>
          <w:p w:rsidR="008317D6" w:rsidRPr="00447F64" w:rsidRDefault="008317D6" w:rsidP="00E738BF">
            <w:pPr>
              <w:spacing w:before="100" w:beforeAutospacing="1" w:after="100" w:afterAutospacing="1" w:line="240" w:lineRule="auto"/>
              <w:jc w:val="center"/>
              <w:rPr>
                <w:rFonts w:ascii="Arial" w:eastAsia="Times New Roman" w:hAnsi="Arial" w:cs="Arial"/>
                <w:i/>
                <w:iCs/>
                <w:sz w:val="24"/>
                <w:szCs w:val="24"/>
                <w:lang w:eastAsia="is-IS"/>
              </w:rPr>
            </w:pPr>
            <w:r w:rsidRPr="00447F64">
              <w:rPr>
                <w:rFonts w:ascii="Arial" w:eastAsia="Times New Roman" w:hAnsi="Arial" w:cs="Arial"/>
                <w:i/>
                <w:iCs/>
                <w:sz w:val="24"/>
                <w:szCs w:val="24"/>
                <w:lang w:eastAsia="is-IS"/>
              </w:rPr>
              <w:t>Sértryggð skuldabréf.</w:t>
            </w:r>
          </w:p>
          <w:p w:rsidR="008317D6" w:rsidRPr="00447F64" w:rsidRDefault="00B576B9"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w:t>
            </w:r>
            <w:r w:rsidR="008317D6" w:rsidRPr="00447F64">
              <w:rPr>
                <w:rFonts w:ascii="Arial" w:eastAsia="Times New Roman" w:hAnsi="Arial" w:cs="Arial"/>
                <w:sz w:val="24"/>
                <w:szCs w:val="24"/>
                <w:lang w:eastAsia="is-IS"/>
              </w:rPr>
              <w:t>Sértryggð skuldabréf eru skuldabréf sem gefin eru út af fjármálafyrirtækjum á Íslandi, eða í öðrum löndum EES og sem lögum samkvæmt eru háð sérstöku eftirliti með það að markmiði að vernda kaupendur bréfanna.</w:t>
            </w:r>
            <w:r w:rsidRPr="00447F64">
              <w:rPr>
                <w:rFonts w:ascii="Arial" w:eastAsia="Times New Roman" w:hAnsi="Arial" w:cs="Arial"/>
                <w:sz w:val="24"/>
                <w:szCs w:val="24"/>
                <w:lang w:eastAsia="is-IS"/>
              </w:rPr>
              <w:t>]</w:t>
            </w:r>
            <w:r w:rsidRPr="00447F64">
              <w:rPr>
                <w:rStyle w:val="FootnoteReference"/>
                <w:rFonts w:ascii="Arial" w:eastAsia="Times New Roman" w:hAnsi="Arial" w:cs="Arial"/>
                <w:sz w:val="24"/>
                <w:szCs w:val="24"/>
                <w:lang w:eastAsia="is-IS"/>
              </w:rPr>
              <w:footnoteReference w:id="23"/>
            </w:r>
            <w:r w:rsidR="008317D6" w:rsidRPr="00447F64">
              <w:rPr>
                <w:rFonts w:ascii="Arial" w:eastAsia="Times New Roman" w:hAnsi="Arial" w:cs="Arial"/>
                <w:sz w:val="24"/>
                <w:szCs w:val="24"/>
                <w:lang w:eastAsia="is-IS"/>
              </w:rPr>
              <w:t xml:space="preserve"> Fé það sem fæst með útgáfu skulda</w:t>
            </w:r>
            <w:r w:rsidR="008317D6" w:rsidRPr="00447F64">
              <w:rPr>
                <w:rFonts w:ascii="Arial" w:eastAsia="Times New Roman" w:hAnsi="Arial" w:cs="Arial"/>
                <w:sz w:val="24"/>
                <w:szCs w:val="24"/>
                <w:lang w:eastAsia="is-IS"/>
              </w:rPr>
              <w:softHyphen/>
              <w:t>bréfanna skal fjárfesta í eignum sem tryggt er að standi undir áhættu</w:t>
            </w:r>
            <w:r w:rsidR="008317D6" w:rsidRPr="00447F64">
              <w:rPr>
                <w:rFonts w:ascii="Arial" w:eastAsia="Times New Roman" w:hAnsi="Arial" w:cs="Arial"/>
                <w:sz w:val="24"/>
                <w:szCs w:val="24"/>
                <w:lang w:eastAsia="is-IS"/>
              </w:rPr>
              <w:softHyphen/>
              <w:t>skuldbindingunni út líftíma skuldabréfsins, bæði eftirstöðvum og áföllnum vöxtum, ef greiðslufall verður hjá útgefanda.</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Sértryggð skuldabréf skulu tryggð með veði í einhverjum eftirfarandi eigna: </w:t>
            </w:r>
          </w:p>
          <w:p w:rsidR="008317D6" w:rsidRPr="00447F64" w:rsidRDefault="008317D6" w:rsidP="00447F64">
            <w:pPr>
              <w:numPr>
                <w:ilvl w:val="0"/>
                <w:numId w:val="18"/>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Kröfum á eða með ábyrgð ríkja, seðlabanka, opinberrar stofnunar, héraðs- </w:t>
            </w:r>
            <w:r w:rsidRPr="00447F64">
              <w:rPr>
                <w:rFonts w:ascii="Arial" w:eastAsia="Times New Roman" w:hAnsi="Arial" w:cs="Arial"/>
                <w:sz w:val="24"/>
                <w:szCs w:val="24"/>
                <w:lang w:eastAsia="is-IS"/>
              </w:rPr>
              <w:lastRenderedPageBreak/>
              <w:t xml:space="preserve">eða sveitarstjórna innan EES, </w:t>
            </w:r>
          </w:p>
          <w:p w:rsidR="008317D6" w:rsidRPr="00447F64" w:rsidRDefault="008317D6" w:rsidP="00447F64">
            <w:pPr>
              <w:numPr>
                <w:ilvl w:val="0"/>
                <w:numId w:val="18"/>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kröfum á eða með ábyrgð ríkja, seðlabanka, opinberrar stofnunar, héraðs- eða sveitarstjórna utan EES, auk eigna sem eru kröfur á eða með ábyrgð fjölþjóða þróunarbanka enda séu þær flokkaðar í 1. þrepi útlánagæða. Fjárhæð sértryggðra skuldabréfa sem tryggð eru með veði í þessum eignum má ekki vera hærri en 20% af nafnfjárhæð (</w:t>
            </w:r>
            <w:r w:rsidRPr="00447F64">
              <w:rPr>
                <w:rFonts w:ascii="Arial" w:eastAsia="Times New Roman" w:hAnsi="Arial" w:cs="Arial"/>
                <w:i/>
                <w:iCs/>
                <w:sz w:val="24"/>
                <w:szCs w:val="24"/>
                <w:lang w:eastAsia="is-IS"/>
              </w:rPr>
              <w:t xml:space="preserve">e. </w:t>
            </w:r>
            <w:proofErr w:type="spellStart"/>
            <w:r w:rsidRPr="00447F64">
              <w:rPr>
                <w:rFonts w:ascii="Arial" w:eastAsia="Times New Roman" w:hAnsi="Arial" w:cs="Arial"/>
                <w:i/>
                <w:iCs/>
                <w:sz w:val="24"/>
                <w:szCs w:val="24"/>
                <w:lang w:eastAsia="is-IS"/>
              </w:rPr>
              <w:t>nominal</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amount</w:t>
            </w:r>
            <w:proofErr w:type="spellEnd"/>
            <w:r w:rsidRPr="00447F64">
              <w:rPr>
                <w:rFonts w:ascii="Arial" w:eastAsia="Times New Roman" w:hAnsi="Arial" w:cs="Arial"/>
                <w:sz w:val="24"/>
                <w:szCs w:val="24"/>
                <w:lang w:eastAsia="is-IS"/>
              </w:rPr>
              <w:t xml:space="preserve">) útistandandi sértryggðra skuldabréfa útgefanda, </w:t>
            </w:r>
          </w:p>
          <w:p w:rsidR="008317D6" w:rsidRPr="00447F64" w:rsidRDefault="008317D6" w:rsidP="00447F64">
            <w:pPr>
              <w:numPr>
                <w:ilvl w:val="0"/>
                <w:numId w:val="18"/>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kröfum á eða með ábyrgð fjármálafyrirtækja sem flokkuð eru í 1. þrep útlánagæða. Fjárhæð sértryggðra skuldabréfa sem tryggð eru með veði í þessum eignum má ekki vera hærri en 15% af nafnfjárhæð útistandandi sértryggðra skuldabréfa útgefanda, </w:t>
            </w:r>
          </w:p>
          <w:p w:rsidR="008317D6" w:rsidRPr="00447F64" w:rsidRDefault="008317D6" w:rsidP="00447F64">
            <w:pPr>
              <w:numPr>
                <w:ilvl w:val="0"/>
                <w:numId w:val="18"/>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veðlánum í íbúðarhúsnæði þar sem heildarveðhlutfall í eigninni er 80% eða lægra, </w:t>
            </w:r>
          </w:p>
          <w:p w:rsidR="008317D6" w:rsidRPr="00447F64" w:rsidRDefault="008317D6" w:rsidP="00447F64">
            <w:pPr>
              <w:numPr>
                <w:ilvl w:val="0"/>
                <w:numId w:val="18"/>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veðlánum í viðskiptahúsnæði þar sem heildarveðhlutfall í eigninni er 60% eða lægra. Heildarveðhlutfall má vera 70% ef heildarvirði tryggðra eigna er 10% hærra en höfuðstóll skuldabréfsins, </w:t>
            </w:r>
          </w:p>
          <w:p w:rsidR="008317D6" w:rsidRPr="00447F64" w:rsidRDefault="008317D6" w:rsidP="00447F64">
            <w:pPr>
              <w:numPr>
                <w:ilvl w:val="0"/>
                <w:numId w:val="18"/>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veðlánum í skipum þar sem heildarveðhlutfall er 60% eða lægra.</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Ef húsnæðisveðlán eru notuð til tryggingar ber útgefanda að fylgja ákvæðum í viðauka VIII skv. 55. gr. A um form og mat á veðinu.</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Sértryggð skuldabréf fá áhættuvog á grundvelli þeirra áhættuvoga sem ótryggðar forgangskröfur </w:t>
            </w:r>
            <w:r w:rsidRPr="00447F64">
              <w:rPr>
                <w:rFonts w:ascii="Arial" w:eastAsia="Times New Roman" w:hAnsi="Arial" w:cs="Arial"/>
                <w:i/>
                <w:iCs/>
                <w:sz w:val="24"/>
                <w:szCs w:val="24"/>
                <w:lang w:eastAsia="is-IS"/>
              </w:rPr>
              <w:t xml:space="preserve">(e. </w:t>
            </w:r>
            <w:proofErr w:type="spellStart"/>
            <w:r w:rsidRPr="00447F64">
              <w:rPr>
                <w:rFonts w:ascii="Arial" w:eastAsia="Times New Roman" w:hAnsi="Arial" w:cs="Arial"/>
                <w:i/>
                <w:iCs/>
                <w:sz w:val="24"/>
                <w:szCs w:val="24"/>
                <w:lang w:eastAsia="is-IS"/>
              </w:rPr>
              <w:t>senior</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unsecured</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exposures</w:t>
            </w:r>
            <w:proofErr w:type="spellEnd"/>
            <w:r w:rsidRPr="00447F64">
              <w:rPr>
                <w:rFonts w:ascii="Arial" w:eastAsia="Times New Roman" w:hAnsi="Arial" w:cs="Arial"/>
                <w:i/>
                <w:iCs/>
                <w:sz w:val="24"/>
                <w:szCs w:val="24"/>
                <w:lang w:eastAsia="is-IS"/>
              </w:rPr>
              <w:t>)</w:t>
            </w:r>
            <w:r w:rsidRPr="00447F64">
              <w:rPr>
                <w:rFonts w:ascii="Arial" w:eastAsia="Times New Roman" w:hAnsi="Arial" w:cs="Arial"/>
                <w:sz w:val="24"/>
                <w:szCs w:val="24"/>
                <w:lang w:eastAsia="is-IS"/>
              </w:rPr>
              <w:t xml:space="preserve"> á útgefandann hafa samkvæmt eftir</w:t>
            </w:r>
            <w:r w:rsidRPr="00447F64">
              <w:rPr>
                <w:rFonts w:ascii="Arial" w:eastAsia="Times New Roman" w:hAnsi="Arial" w:cs="Arial"/>
                <w:sz w:val="24"/>
                <w:szCs w:val="24"/>
                <w:lang w:eastAsia="is-IS"/>
              </w:rPr>
              <w:softHyphen/>
              <w:t>farandi:</w:t>
            </w:r>
          </w:p>
          <w:p w:rsidR="008317D6" w:rsidRPr="00447F64" w:rsidRDefault="008317D6" w:rsidP="00447F64">
            <w:pPr>
              <w:numPr>
                <w:ilvl w:val="0"/>
                <w:numId w:val="19"/>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Ef kröfurnar hafa áhættuvog 20% fá sértryggð skuldabréf áhættuvog 10%, </w:t>
            </w:r>
          </w:p>
          <w:p w:rsidR="008317D6" w:rsidRPr="00447F64" w:rsidRDefault="008317D6" w:rsidP="00447F64">
            <w:pPr>
              <w:numPr>
                <w:ilvl w:val="0"/>
                <w:numId w:val="19"/>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ef kröfurnar hafa áhættuvog 50% fá sértryggð skuldabréf áhættuvog 20%, </w:t>
            </w:r>
          </w:p>
          <w:p w:rsidR="008317D6" w:rsidRPr="00447F64" w:rsidRDefault="008317D6" w:rsidP="00447F64">
            <w:pPr>
              <w:numPr>
                <w:ilvl w:val="0"/>
                <w:numId w:val="19"/>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ef kröfurnar hafa áhættuvog 100% fá sértryggð skuldabréf áhættuvog 50%, </w:t>
            </w:r>
          </w:p>
          <w:p w:rsidR="008317D6" w:rsidRPr="00447F64" w:rsidRDefault="008317D6" w:rsidP="00447F64">
            <w:pPr>
              <w:numPr>
                <w:ilvl w:val="0"/>
                <w:numId w:val="19"/>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ef kröfurnar hafa áhættuvog 150% fá sértryggð skuldabréf áhættuvog 100%.</w:t>
            </w:r>
          </w:p>
          <w:p w:rsidR="008317D6" w:rsidRPr="00447F64" w:rsidRDefault="008317D6" w:rsidP="00E738BF">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22. gr.</w:t>
            </w:r>
          </w:p>
          <w:p w:rsidR="008317D6" w:rsidRPr="00447F64" w:rsidRDefault="008317D6" w:rsidP="00E738BF">
            <w:pPr>
              <w:spacing w:before="100" w:beforeAutospacing="1" w:after="100" w:afterAutospacing="1" w:line="240" w:lineRule="auto"/>
              <w:jc w:val="center"/>
              <w:rPr>
                <w:rFonts w:ascii="Arial" w:eastAsia="Times New Roman" w:hAnsi="Arial" w:cs="Arial"/>
                <w:i/>
                <w:iCs/>
                <w:sz w:val="24"/>
                <w:szCs w:val="24"/>
                <w:lang w:eastAsia="is-IS"/>
              </w:rPr>
            </w:pPr>
            <w:proofErr w:type="spellStart"/>
            <w:r w:rsidRPr="00447F64">
              <w:rPr>
                <w:rFonts w:ascii="Arial" w:eastAsia="Times New Roman" w:hAnsi="Arial" w:cs="Arial"/>
                <w:i/>
                <w:iCs/>
                <w:sz w:val="24"/>
                <w:szCs w:val="24"/>
                <w:lang w:eastAsia="is-IS"/>
              </w:rPr>
              <w:t>Verðbréfaðar</w:t>
            </w:r>
            <w:proofErr w:type="spellEnd"/>
            <w:r w:rsidRPr="00447F64">
              <w:rPr>
                <w:rFonts w:ascii="Arial" w:eastAsia="Times New Roman" w:hAnsi="Arial" w:cs="Arial"/>
                <w:i/>
                <w:iCs/>
                <w:sz w:val="24"/>
                <w:szCs w:val="24"/>
                <w:lang w:eastAsia="is-IS"/>
              </w:rPr>
              <w:t xml:space="preserve"> stöður.</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proofErr w:type="spellStart"/>
            <w:r w:rsidRPr="00447F64">
              <w:rPr>
                <w:rFonts w:ascii="Arial" w:eastAsia="Times New Roman" w:hAnsi="Arial" w:cs="Arial"/>
                <w:sz w:val="24"/>
                <w:szCs w:val="24"/>
                <w:lang w:eastAsia="is-IS"/>
              </w:rPr>
              <w:t>Verðbréfaðar</w:t>
            </w:r>
            <w:proofErr w:type="spellEnd"/>
            <w:r w:rsidRPr="00447F64">
              <w:rPr>
                <w:rFonts w:ascii="Arial" w:eastAsia="Times New Roman" w:hAnsi="Arial" w:cs="Arial"/>
                <w:sz w:val="24"/>
                <w:szCs w:val="24"/>
                <w:lang w:eastAsia="is-IS"/>
              </w:rPr>
              <w:t xml:space="preserve"> stöður fá áhættuvog samkvæmt ákvæðum VIII. kafla.</w:t>
            </w:r>
          </w:p>
          <w:p w:rsidR="008317D6" w:rsidRPr="00447F64" w:rsidRDefault="008317D6" w:rsidP="00E738BF">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23. gr.</w:t>
            </w:r>
          </w:p>
          <w:p w:rsidR="008317D6" w:rsidRPr="00447F64" w:rsidRDefault="008317D6" w:rsidP="00E738BF">
            <w:pPr>
              <w:spacing w:before="100" w:beforeAutospacing="1" w:after="100" w:afterAutospacing="1" w:line="240" w:lineRule="auto"/>
              <w:jc w:val="center"/>
              <w:rPr>
                <w:rFonts w:ascii="Arial" w:eastAsia="Times New Roman" w:hAnsi="Arial" w:cs="Arial"/>
                <w:i/>
                <w:iCs/>
                <w:sz w:val="24"/>
                <w:szCs w:val="24"/>
                <w:lang w:eastAsia="is-IS"/>
              </w:rPr>
            </w:pPr>
            <w:r w:rsidRPr="00447F64">
              <w:rPr>
                <w:rFonts w:ascii="Arial" w:eastAsia="Times New Roman" w:hAnsi="Arial" w:cs="Arial"/>
                <w:i/>
                <w:iCs/>
                <w:sz w:val="24"/>
                <w:szCs w:val="24"/>
                <w:lang w:eastAsia="is-IS"/>
              </w:rPr>
              <w:t>Skammtíma áhættuskuldbindingar.</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Hafi skammtíma áhættuskuldbinding fjármálafyrirtækis eða annars fyrirtækis láns</w:t>
            </w:r>
            <w:r w:rsidRPr="00447F64">
              <w:rPr>
                <w:rFonts w:ascii="Arial" w:eastAsia="Times New Roman" w:hAnsi="Arial" w:cs="Arial"/>
                <w:sz w:val="24"/>
                <w:szCs w:val="24"/>
                <w:lang w:eastAsia="is-IS"/>
              </w:rPr>
              <w:softHyphen/>
              <w:t>hæfis</w:t>
            </w:r>
            <w:r w:rsidRPr="00447F64">
              <w:rPr>
                <w:rFonts w:ascii="Arial" w:eastAsia="Times New Roman" w:hAnsi="Arial" w:cs="Arial"/>
                <w:sz w:val="24"/>
                <w:szCs w:val="24"/>
                <w:lang w:eastAsia="is-IS"/>
              </w:rPr>
              <w:softHyphen/>
              <w:t>mat frá viðurkenndu matsfyrirtæki fær hún áhættuvog eins og eftirfarandi tafla sýnir:</w:t>
            </w:r>
          </w:p>
          <w:p w:rsidR="008317D6" w:rsidRPr="00447F64" w:rsidRDefault="008317D6" w:rsidP="00447F64">
            <w:pPr>
              <w:spacing w:before="100" w:beforeAutospacing="1" w:after="100" w:afterAutospacing="1" w:line="240" w:lineRule="auto"/>
              <w:jc w:val="both"/>
              <w:rPr>
                <w:rFonts w:ascii="Arial" w:eastAsia="Times New Roman" w:hAnsi="Arial" w:cs="Arial"/>
                <w:b/>
                <w:bCs/>
                <w:sz w:val="24"/>
                <w:szCs w:val="24"/>
                <w:lang w:eastAsia="is-IS"/>
              </w:rPr>
            </w:pPr>
            <w:r w:rsidRPr="00447F64">
              <w:rPr>
                <w:rFonts w:ascii="Arial" w:eastAsia="Times New Roman" w:hAnsi="Arial" w:cs="Arial"/>
                <w:b/>
                <w:bCs/>
                <w:sz w:val="24"/>
                <w:szCs w:val="24"/>
                <w:lang w:eastAsia="is-IS"/>
              </w:rPr>
              <w:t>Skammtímaskuldbindingar fjármálafyrirtækja og annarra fyrirtækja</w:t>
            </w:r>
          </w:p>
          <w:tbl>
            <w:tblPr>
              <w:tblW w:w="748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18"/>
              <w:gridCol w:w="973"/>
              <w:gridCol w:w="972"/>
              <w:gridCol w:w="972"/>
              <w:gridCol w:w="972"/>
              <w:gridCol w:w="972"/>
              <w:gridCol w:w="906"/>
            </w:tblGrid>
            <w:tr w:rsidR="008317D6" w:rsidRPr="00447F64">
              <w:trPr>
                <w:tblCellSpacing w:w="7" w:type="dxa"/>
              </w:trPr>
              <w:tc>
                <w:tcPr>
                  <w:tcW w:w="11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Þrep </w:t>
                  </w:r>
                  <w:r w:rsidRPr="00447F64">
                    <w:rPr>
                      <w:rFonts w:ascii="Arial" w:eastAsia="Times New Roman" w:hAnsi="Arial" w:cs="Arial"/>
                      <w:sz w:val="24"/>
                      <w:szCs w:val="24"/>
                      <w:lang w:eastAsia="is-IS"/>
                    </w:rPr>
                    <w:lastRenderedPageBreak/>
                    <w:t>útlánagæða</w:t>
                  </w:r>
                </w:p>
              </w:tc>
              <w:tc>
                <w:tcPr>
                  <w:tcW w:w="6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lastRenderedPageBreak/>
                    <w:t>1</w:t>
                  </w:r>
                </w:p>
              </w:tc>
              <w:tc>
                <w:tcPr>
                  <w:tcW w:w="6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2</w:t>
                  </w:r>
                </w:p>
              </w:tc>
              <w:tc>
                <w:tcPr>
                  <w:tcW w:w="6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3</w:t>
                  </w:r>
                </w:p>
              </w:tc>
              <w:tc>
                <w:tcPr>
                  <w:tcW w:w="6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4</w:t>
                  </w:r>
                </w:p>
              </w:tc>
              <w:tc>
                <w:tcPr>
                  <w:tcW w:w="6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5</w:t>
                  </w:r>
                </w:p>
              </w:tc>
              <w:tc>
                <w:tcPr>
                  <w:tcW w:w="6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6</w:t>
                  </w:r>
                </w:p>
              </w:tc>
            </w:tr>
            <w:tr w:rsidR="008317D6" w:rsidRPr="00447F64">
              <w:trPr>
                <w:tblCellSpacing w:w="7" w:type="dxa"/>
              </w:trPr>
              <w:tc>
                <w:tcPr>
                  <w:tcW w:w="11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lastRenderedPageBreak/>
                    <w:t>Áhættuvog</w:t>
                  </w:r>
                </w:p>
              </w:tc>
              <w:tc>
                <w:tcPr>
                  <w:tcW w:w="6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20%</w:t>
                  </w:r>
                </w:p>
              </w:tc>
              <w:tc>
                <w:tcPr>
                  <w:tcW w:w="6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50%</w:t>
                  </w:r>
                </w:p>
              </w:tc>
              <w:tc>
                <w:tcPr>
                  <w:tcW w:w="6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100%</w:t>
                  </w:r>
                </w:p>
              </w:tc>
              <w:tc>
                <w:tcPr>
                  <w:tcW w:w="6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150%</w:t>
                  </w:r>
                </w:p>
              </w:tc>
              <w:tc>
                <w:tcPr>
                  <w:tcW w:w="6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150%</w:t>
                  </w:r>
                </w:p>
              </w:tc>
              <w:tc>
                <w:tcPr>
                  <w:tcW w:w="6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150%</w:t>
                  </w:r>
                </w:p>
              </w:tc>
            </w:tr>
          </w:tbl>
          <w:p w:rsidR="008317D6" w:rsidRPr="00447F64" w:rsidRDefault="008317D6" w:rsidP="00E738BF">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24. gr.</w:t>
            </w:r>
          </w:p>
          <w:p w:rsidR="008317D6" w:rsidRPr="00447F64" w:rsidRDefault="008317D6" w:rsidP="00E738BF">
            <w:pPr>
              <w:spacing w:before="100" w:beforeAutospacing="1" w:after="100" w:afterAutospacing="1" w:line="240" w:lineRule="auto"/>
              <w:jc w:val="center"/>
              <w:rPr>
                <w:rFonts w:ascii="Arial" w:eastAsia="Times New Roman" w:hAnsi="Arial" w:cs="Arial"/>
                <w:i/>
                <w:iCs/>
                <w:sz w:val="24"/>
                <w:szCs w:val="24"/>
                <w:lang w:eastAsia="is-IS"/>
              </w:rPr>
            </w:pPr>
            <w:r w:rsidRPr="00447F64">
              <w:rPr>
                <w:rFonts w:ascii="Arial" w:eastAsia="Times New Roman" w:hAnsi="Arial" w:cs="Arial"/>
                <w:i/>
                <w:iCs/>
                <w:sz w:val="24"/>
                <w:szCs w:val="24"/>
                <w:lang w:eastAsia="is-IS"/>
              </w:rPr>
              <w:t>Sjóðir um sameiginlega fjárfestingu.</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Hlutdeildarskírteini eða hlutir í sjóðum um sameiginlega fjárfestingu hafa áhættuvog 100% nema kveðið sé á um annað í þessari grein.</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Hafi sjóðurinn lánshæfismat frá viðurkenndu matsfyrirtæki fær hann áhættuvog eins og eftirfarandi tafla sýnir:</w:t>
            </w:r>
          </w:p>
          <w:p w:rsidR="008317D6" w:rsidRPr="00447F64" w:rsidRDefault="008317D6" w:rsidP="00447F64">
            <w:pPr>
              <w:spacing w:before="100" w:beforeAutospacing="1" w:after="100" w:afterAutospacing="1" w:line="240" w:lineRule="auto"/>
              <w:jc w:val="both"/>
              <w:rPr>
                <w:rFonts w:ascii="Arial" w:eastAsia="Times New Roman" w:hAnsi="Arial" w:cs="Arial"/>
                <w:b/>
                <w:bCs/>
                <w:sz w:val="24"/>
                <w:szCs w:val="24"/>
                <w:lang w:eastAsia="is-IS"/>
              </w:rPr>
            </w:pPr>
            <w:r w:rsidRPr="00447F64">
              <w:rPr>
                <w:rFonts w:ascii="Arial" w:eastAsia="Times New Roman" w:hAnsi="Arial" w:cs="Arial"/>
                <w:b/>
                <w:bCs/>
                <w:sz w:val="24"/>
                <w:szCs w:val="24"/>
                <w:lang w:eastAsia="is-IS"/>
              </w:rPr>
              <w:t>Sjóðir um sameiginlega fjárfestingu</w:t>
            </w:r>
          </w:p>
          <w:tbl>
            <w:tblPr>
              <w:tblW w:w="748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18"/>
              <w:gridCol w:w="973"/>
              <w:gridCol w:w="972"/>
              <w:gridCol w:w="972"/>
              <w:gridCol w:w="972"/>
              <w:gridCol w:w="972"/>
              <w:gridCol w:w="906"/>
            </w:tblGrid>
            <w:tr w:rsidR="008317D6" w:rsidRPr="00447F64">
              <w:trPr>
                <w:tblCellSpacing w:w="7" w:type="dxa"/>
              </w:trPr>
              <w:tc>
                <w:tcPr>
                  <w:tcW w:w="11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Þrep útlánagæða</w:t>
                  </w:r>
                </w:p>
              </w:tc>
              <w:tc>
                <w:tcPr>
                  <w:tcW w:w="6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1</w:t>
                  </w:r>
                </w:p>
              </w:tc>
              <w:tc>
                <w:tcPr>
                  <w:tcW w:w="6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2</w:t>
                  </w:r>
                </w:p>
              </w:tc>
              <w:tc>
                <w:tcPr>
                  <w:tcW w:w="6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3</w:t>
                  </w:r>
                </w:p>
              </w:tc>
              <w:tc>
                <w:tcPr>
                  <w:tcW w:w="6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4</w:t>
                  </w:r>
                </w:p>
              </w:tc>
              <w:tc>
                <w:tcPr>
                  <w:tcW w:w="6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5</w:t>
                  </w:r>
                </w:p>
              </w:tc>
              <w:tc>
                <w:tcPr>
                  <w:tcW w:w="6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6</w:t>
                  </w:r>
                </w:p>
              </w:tc>
            </w:tr>
            <w:tr w:rsidR="008317D6" w:rsidRPr="00447F64">
              <w:trPr>
                <w:tblCellSpacing w:w="7" w:type="dxa"/>
              </w:trPr>
              <w:tc>
                <w:tcPr>
                  <w:tcW w:w="11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Áhættuvog</w:t>
                  </w:r>
                </w:p>
              </w:tc>
              <w:tc>
                <w:tcPr>
                  <w:tcW w:w="6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20%</w:t>
                  </w:r>
                </w:p>
              </w:tc>
              <w:tc>
                <w:tcPr>
                  <w:tcW w:w="6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50%</w:t>
                  </w:r>
                </w:p>
              </w:tc>
              <w:tc>
                <w:tcPr>
                  <w:tcW w:w="6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100%</w:t>
                  </w:r>
                </w:p>
              </w:tc>
              <w:tc>
                <w:tcPr>
                  <w:tcW w:w="6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100%</w:t>
                  </w:r>
                </w:p>
              </w:tc>
              <w:tc>
                <w:tcPr>
                  <w:tcW w:w="6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150%</w:t>
                  </w:r>
                </w:p>
              </w:tc>
              <w:tc>
                <w:tcPr>
                  <w:tcW w:w="6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150%</w:t>
                  </w:r>
                </w:p>
              </w:tc>
            </w:tr>
          </w:tbl>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Fjármálaeftirlitið getur ákveðið að hlutdeildarskírteini eða hlutir í sjóðum um sameigin</w:t>
            </w:r>
            <w:r w:rsidRPr="00447F64">
              <w:rPr>
                <w:rFonts w:ascii="Arial" w:eastAsia="Times New Roman" w:hAnsi="Arial" w:cs="Arial"/>
                <w:sz w:val="24"/>
                <w:szCs w:val="24"/>
                <w:lang w:eastAsia="is-IS"/>
              </w:rPr>
              <w:softHyphen/>
              <w:t>lega fjárfestingu fái áhættuvog 150% ef áhættuskuldbindingin er talin sérlega áhættu</w:t>
            </w:r>
            <w:r w:rsidRPr="00447F64">
              <w:rPr>
                <w:rFonts w:ascii="Arial" w:eastAsia="Times New Roman" w:hAnsi="Arial" w:cs="Arial"/>
                <w:sz w:val="24"/>
                <w:szCs w:val="24"/>
                <w:lang w:eastAsia="is-IS"/>
              </w:rPr>
              <w:softHyphen/>
              <w:t>söm.</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Hafi sjóður um sameiginlega fjárfestingu í þriðja ríki utan EES hlotið viðurkenningu eftirlitsaðila innan EES í samræmi við skilyrði 6. mgr. getur Fjármálaeftirlitið ákveðið að viðurkenna sjóðinn án þess að framkvæma eigið mat.</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Fjármálafyrirtæki mega ákveða áhættuvog fyrir sjóð um sameiginlega fjárfestingu skv. 6., 7. eða 8. mgr. þessarar greinar ef hann uppfyllir eftirfarandi skilyrði:</w:t>
            </w:r>
          </w:p>
          <w:p w:rsidR="008317D6" w:rsidRPr="00447F64" w:rsidRDefault="008317D6" w:rsidP="00447F64">
            <w:pPr>
              <w:numPr>
                <w:ilvl w:val="0"/>
                <w:numId w:val="20"/>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Sjóðurinn er rekinn af eftirlitsskyldum aðila innan EES eða hann hefur hlotið viðurkenningu Fjármálaeftirlitsins, </w:t>
            </w:r>
          </w:p>
          <w:p w:rsidR="008317D6" w:rsidRPr="00447F64" w:rsidRDefault="008317D6" w:rsidP="00447F64">
            <w:pPr>
              <w:numPr>
                <w:ilvl w:val="0"/>
                <w:numId w:val="20"/>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í kynningarskjali/útboðslýsingu komi fram í hvaða eignum sjóðnum er heimilt að fjárfesta, hvaða fjárfestingartakmörk gilda, hlutföll þeirra og reikningsaðferðir á hlutföllum og </w:t>
            </w:r>
          </w:p>
          <w:p w:rsidR="008317D6" w:rsidRPr="00447F64" w:rsidRDefault="008317D6" w:rsidP="00447F64">
            <w:pPr>
              <w:numPr>
                <w:ilvl w:val="0"/>
                <w:numId w:val="20"/>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gerður sé efnahags- og rekstrarreikningur a.m.k. einu sinni á ári til að hægt sé að meta eignir hans og skuldir, tekjur og rekstur yfir tímabilið.</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Séu undirliggjandi eignir sjóðs um sameiginlega fjárfestingu þekktar má nota áhættuvog sem er meðaltal áhættuvoga eignanna reiknaðar samkvæmt staðalaðferð.</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Séu undirliggjandi eignir sjóðs um sameiginlega fjárfestingu óþekktar má nota áhættuvog sem er meðaltal áhættuvoga eignanna reiknaðar samkvæmt staðalaðferð miðað við að sjóðurinn hafi fjárfest í samræmi við staðfesta fjárfestingarstefnu í eftirfarandi röð: að hámarki samkvæmt hæsta áhættuflokki og síðan í lækkandi áhættuflokkum.</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lastRenderedPageBreak/>
              <w:t>Nota má áhættuvog sem metin er af þriðja aðila vegna 6. og 7. mgr. þessarar greinar, svo fremi að hægt sé að tryggja áreiðanleika þess mats.</w:t>
            </w:r>
          </w:p>
          <w:p w:rsidR="008317D6" w:rsidRPr="00447F64" w:rsidRDefault="008317D6" w:rsidP="00E738BF">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25. gr.</w:t>
            </w:r>
          </w:p>
          <w:p w:rsidR="008317D6" w:rsidRPr="00447F64" w:rsidRDefault="00B576B9" w:rsidP="00E738BF">
            <w:pPr>
              <w:spacing w:before="100" w:beforeAutospacing="1" w:after="100" w:afterAutospacing="1" w:line="240" w:lineRule="auto"/>
              <w:jc w:val="center"/>
              <w:rPr>
                <w:rFonts w:ascii="Arial" w:eastAsia="Times New Roman" w:hAnsi="Arial" w:cs="Arial"/>
                <w:iCs/>
                <w:sz w:val="24"/>
                <w:szCs w:val="24"/>
                <w:lang w:eastAsia="is-IS"/>
              </w:rPr>
            </w:pPr>
            <w:r w:rsidRPr="00447F64">
              <w:rPr>
                <w:rFonts w:ascii="Arial" w:eastAsia="Times New Roman" w:hAnsi="Arial" w:cs="Arial"/>
                <w:iCs/>
                <w:sz w:val="24"/>
                <w:szCs w:val="24"/>
                <w:lang w:eastAsia="is-IS"/>
              </w:rPr>
              <w:t>[</w:t>
            </w:r>
            <w:r w:rsidR="008317D6" w:rsidRPr="00447F64">
              <w:rPr>
                <w:rFonts w:ascii="Arial" w:eastAsia="Times New Roman" w:hAnsi="Arial" w:cs="Arial"/>
                <w:i/>
                <w:iCs/>
                <w:sz w:val="24"/>
                <w:szCs w:val="24"/>
                <w:lang w:eastAsia="is-IS"/>
              </w:rPr>
              <w:t>Aðrir liðir.</w:t>
            </w:r>
            <w:r w:rsidRPr="00447F64">
              <w:rPr>
                <w:rFonts w:ascii="Arial" w:eastAsia="Times New Roman" w:hAnsi="Arial" w:cs="Arial"/>
                <w:iCs/>
                <w:sz w:val="24"/>
                <w:szCs w:val="24"/>
                <w:lang w:eastAsia="is-IS"/>
              </w:rPr>
              <w:t>]</w:t>
            </w:r>
            <w:r w:rsidRPr="00447F64">
              <w:rPr>
                <w:rStyle w:val="FootnoteReference"/>
                <w:rFonts w:ascii="Arial" w:eastAsia="Times New Roman" w:hAnsi="Arial" w:cs="Arial"/>
                <w:iCs/>
                <w:sz w:val="24"/>
                <w:szCs w:val="24"/>
                <w:lang w:eastAsia="is-IS"/>
              </w:rPr>
              <w:footnoteReference w:id="24"/>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Efnislegar eignir fá áhættuvog 100%.</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Fyrirframgreiðslur og fyrirfram innheimtar tekjur, þar sem ekki er hægt að ákveða hver mótaðilinn er, fá áhættuvog 100%.</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Reiðufé sem er í innheimtuferli fær áhættuvog 20% en annað reiðufé fær áhættuvog 0%.</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Fjármálaeftirlitið getur heimilað 10% áhættuvog vegna áhættuskuldbindinga eftirlits</w:t>
            </w:r>
            <w:r w:rsidRPr="00447F64">
              <w:rPr>
                <w:rFonts w:ascii="Arial" w:eastAsia="Times New Roman" w:hAnsi="Arial" w:cs="Arial"/>
                <w:sz w:val="24"/>
                <w:szCs w:val="24"/>
                <w:lang w:eastAsia="is-IS"/>
              </w:rPr>
              <w:softHyphen/>
              <w:t>skyldra stofnana sem sérhæfa sig í millibankaviðskiptum og opinberum skuldabréfa</w:t>
            </w:r>
            <w:r w:rsidRPr="00447F64">
              <w:rPr>
                <w:rFonts w:ascii="Arial" w:eastAsia="Times New Roman" w:hAnsi="Arial" w:cs="Arial"/>
                <w:sz w:val="24"/>
                <w:szCs w:val="24"/>
                <w:lang w:eastAsia="is-IS"/>
              </w:rPr>
              <w:softHyphen/>
              <w:t>mörkuðum ef þessar áhættuskuldbindingar eru fullkomlega tryggðar með eignum með áhættuvog 0% eða 20% og Fjármálaeftirlitið telur þessar tryggingar nægjan</w:t>
            </w:r>
            <w:r w:rsidRPr="00447F64">
              <w:rPr>
                <w:rFonts w:ascii="Arial" w:eastAsia="Times New Roman" w:hAnsi="Arial" w:cs="Arial"/>
                <w:sz w:val="24"/>
                <w:szCs w:val="24"/>
                <w:lang w:eastAsia="is-IS"/>
              </w:rPr>
              <w:softHyphen/>
              <w:t>legar.</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Hlutabréf og önnur hlutdeild í félögum fá að lágmarki 100% áhættuvog enda séu eignirnar ekki dregnar frá eiginfjárgrunni.</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Gullstengur í eigin vörslu eða eignir tryggðar með gullstöngum fá áhættuvog 0%.</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Þegar um er að ræða sölu- og endurkaupasamninga og bein framvirk kaup fá áhættuskuldbindingarnar áhættuvog viðkomandi eigna en ekki mótaðilans.</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Þegar fjármálafyrirtæki veitir útlánavörn fyrir stöðu með þeim skilmálum að </w:t>
            </w:r>
            <w:r w:rsidRPr="00447F64">
              <w:rPr>
                <w:rFonts w:ascii="Arial" w:eastAsia="Times New Roman" w:hAnsi="Arial" w:cs="Arial"/>
                <w:i/>
                <w:iCs/>
                <w:sz w:val="24"/>
                <w:szCs w:val="24"/>
                <w:lang w:eastAsia="is-IS"/>
              </w:rPr>
              <w:t>n</w:t>
            </w:r>
            <w:r w:rsidRPr="00447F64">
              <w:rPr>
                <w:rFonts w:ascii="Arial" w:eastAsia="Times New Roman" w:hAnsi="Arial" w:cs="Arial"/>
                <w:sz w:val="24"/>
                <w:szCs w:val="24"/>
                <w:lang w:eastAsia="is-IS"/>
              </w:rPr>
              <w:t>-</w:t>
            </w:r>
            <w:proofErr w:type="spellStart"/>
            <w:r w:rsidRPr="00447F64">
              <w:rPr>
                <w:rFonts w:ascii="Arial" w:eastAsia="Times New Roman" w:hAnsi="Arial" w:cs="Arial"/>
                <w:i/>
                <w:iCs/>
                <w:sz w:val="24"/>
                <w:szCs w:val="24"/>
                <w:lang w:eastAsia="is-IS"/>
              </w:rPr>
              <w:t>ta</w:t>
            </w:r>
            <w:proofErr w:type="spellEnd"/>
            <w:r w:rsidRPr="00447F64">
              <w:rPr>
                <w:rFonts w:ascii="Arial" w:eastAsia="Times New Roman" w:hAnsi="Arial" w:cs="Arial"/>
                <w:sz w:val="24"/>
                <w:szCs w:val="24"/>
                <w:lang w:eastAsia="is-IS"/>
              </w:rPr>
              <w:t xml:space="preserve"> vanefndin meðal staðanna skapi greiðsluskyldu og jafnframt að þessi vanefnd bindi enda á samninginn, og svo framarlega sem afurðin hefur lánshæfismat viðurkennds mats</w:t>
            </w:r>
            <w:r w:rsidRPr="00447F64">
              <w:rPr>
                <w:rFonts w:ascii="Arial" w:eastAsia="Times New Roman" w:hAnsi="Arial" w:cs="Arial"/>
                <w:sz w:val="24"/>
                <w:szCs w:val="24"/>
                <w:lang w:eastAsia="is-IS"/>
              </w:rPr>
              <w:softHyphen/>
              <w:t xml:space="preserve">fyrirtækis, skal notast við ákvæði VIII. kafla um </w:t>
            </w:r>
            <w:proofErr w:type="spellStart"/>
            <w:r w:rsidRPr="00447F64">
              <w:rPr>
                <w:rFonts w:ascii="Arial" w:eastAsia="Times New Roman" w:hAnsi="Arial" w:cs="Arial"/>
                <w:sz w:val="24"/>
                <w:szCs w:val="24"/>
                <w:lang w:eastAsia="is-IS"/>
              </w:rPr>
              <w:t>verðbréfaðar</w:t>
            </w:r>
            <w:proofErr w:type="spellEnd"/>
            <w:r w:rsidRPr="00447F64">
              <w:rPr>
                <w:rFonts w:ascii="Arial" w:eastAsia="Times New Roman" w:hAnsi="Arial" w:cs="Arial"/>
                <w:sz w:val="24"/>
                <w:szCs w:val="24"/>
                <w:lang w:eastAsia="is-IS"/>
              </w:rPr>
              <w:t xml:space="preserve"> stöður. Hafi afurðin ekki lánshæfismat viðurkennds matsfyrirtækis ber að leggja saman áhættuvogir stað</w:t>
            </w:r>
            <w:r w:rsidRPr="00447F64">
              <w:rPr>
                <w:rFonts w:ascii="Arial" w:eastAsia="Times New Roman" w:hAnsi="Arial" w:cs="Arial"/>
                <w:sz w:val="24"/>
                <w:szCs w:val="24"/>
                <w:lang w:eastAsia="is-IS"/>
              </w:rPr>
              <w:softHyphen/>
              <w:t xml:space="preserve">anna í körfunni, að undanskildum </w:t>
            </w:r>
            <w:r w:rsidRPr="00447F64">
              <w:rPr>
                <w:rFonts w:ascii="Arial" w:eastAsia="Times New Roman" w:hAnsi="Arial" w:cs="Arial"/>
                <w:i/>
                <w:iCs/>
                <w:sz w:val="24"/>
                <w:szCs w:val="24"/>
                <w:lang w:eastAsia="is-IS"/>
              </w:rPr>
              <w:t>n-1</w:t>
            </w:r>
            <w:r w:rsidRPr="00447F64">
              <w:rPr>
                <w:rFonts w:ascii="Arial" w:eastAsia="Times New Roman" w:hAnsi="Arial" w:cs="Arial"/>
                <w:sz w:val="24"/>
                <w:szCs w:val="24"/>
                <w:lang w:eastAsia="is-IS"/>
              </w:rPr>
              <w:t xml:space="preserve"> stöðum, upp að hámarki 1250% og margfalda með nafnverði stöðunnar sem varin er til að finna áhættuvegna stöðufjárhæð. Þær </w:t>
            </w:r>
            <w:r w:rsidRPr="00447F64">
              <w:rPr>
                <w:rFonts w:ascii="Arial" w:eastAsia="Times New Roman" w:hAnsi="Arial" w:cs="Arial"/>
                <w:i/>
                <w:iCs/>
                <w:sz w:val="24"/>
                <w:szCs w:val="24"/>
                <w:lang w:eastAsia="is-IS"/>
              </w:rPr>
              <w:t>n-1</w:t>
            </w:r>
            <w:r w:rsidRPr="00447F64">
              <w:rPr>
                <w:rFonts w:ascii="Arial" w:eastAsia="Times New Roman" w:hAnsi="Arial" w:cs="Arial"/>
                <w:sz w:val="24"/>
                <w:szCs w:val="24"/>
                <w:lang w:eastAsia="is-IS"/>
              </w:rPr>
              <w:t xml:space="preserve"> stöður sem undanskilja skal úr samlagningunni skulu vera þær stöður sem hver um sig leiðir til lægri áhættuveginnar stöðu en nokkur áhættuvegin staða sem tekin er með í samlagninguna.</w:t>
            </w:r>
          </w:p>
          <w:p w:rsidR="00786B63" w:rsidRPr="00447F64" w:rsidRDefault="00B576B9"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hAnsi="Arial" w:cs="Arial"/>
                <w:sz w:val="24"/>
                <w:szCs w:val="24"/>
              </w:rPr>
              <w:t>[</w:t>
            </w:r>
            <w:r w:rsidR="00786B63" w:rsidRPr="00447F64">
              <w:rPr>
                <w:rFonts w:ascii="Arial" w:hAnsi="Arial" w:cs="Arial"/>
                <w:sz w:val="24"/>
                <w:szCs w:val="24"/>
              </w:rPr>
              <w:t>Virði áhættuskuldbindingar vegna eignarleigusamninga skal vera núvirði lágmarks</w:t>
            </w:r>
            <w:r w:rsidR="00786B63" w:rsidRPr="00447F64">
              <w:rPr>
                <w:rFonts w:ascii="Arial" w:hAnsi="Arial" w:cs="Arial"/>
                <w:sz w:val="24"/>
                <w:szCs w:val="24"/>
              </w:rPr>
              <w:softHyphen/>
              <w:t xml:space="preserve">leigugreiðslna. Með lágmarksleigugreiðslu er átt við greiðslur sem lántaki ber eða getur verið krafinn um að greiða á leigutímanum ásamt vildarkjörum. Tryggt lokavirði, sem uppfyllir skilyrði 26.-28. liðar 1. hluta viðauka VIII, skv. 55. gr. A, að því er varðar hæfi aðila sem veita útlánavörn, og lágmarkskröfur 14.-19. liðar 2. hluta viðauka VIII, skv. 55. gr. A, skal vera innifalið í lágmarksleigugreiðslum. Flokka skal áhættuskuldbindingar þessar í samræmi </w:t>
            </w:r>
            <w:r w:rsidR="00786B63" w:rsidRPr="00447F64">
              <w:rPr>
                <w:rFonts w:ascii="Arial" w:hAnsi="Arial" w:cs="Arial"/>
                <w:sz w:val="24"/>
                <w:szCs w:val="24"/>
              </w:rPr>
              <w:lastRenderedPageBreak/>
              <w:t>við 10. gr. reglnanna. Þegar virði áhættu</w:t>
            </w:r>
            <w:r w:rsidR="00786B63" w:rsidRPr="00447F64">
              <w:rPr>
                <w:rFonts w:ascii="Arial" w:hAnsi="Arial" w:cs="Arial"/>
                <w:sz w:val="24"/>
                <w:szCs w:val="24"/>
              </w:rPr>
              <w:softHyphen/>
              <w:t>skuldbindingar er lokavirði eignarleigusamnings skal reikna fjárhæð hinnar áhættuvegnu áhættu</w:t>
            </w:r>
            <w:r w:rsidR="00786B63" w:rsidRPr="00447F64">
              <w:rPr>
                <w:rFonts w:ascii="Arial" w:hAnsi="Arial" w:cs="Arial"/>
                <w:sz w:val="24"/>
                <w:szCs w:val="24"/>
              </w:rPr>
              <w:softHyphen/>
              <w:t>skuldbind</w:t>
            </w:r>
            <w:r w:rsidR="00786B63" w:rsidRPr="00447F64">
              <w:rPr>
                <w:rFonts w:ascii="Arial" w:hAnsi="Arial" w:cs="Arial"/>
                <w:sz w:val="24"/>
                <w:szCs w:val="24"/>
              </w:rPr>
              <w:softHyphen/>
              <w:t xml:space="preserve">ingar með því að margfalda virði hennar með 100% og </w:t>
            </w:r>
            <w:r w:rsidR="00786B63" w:rsidRPr="00447F64">
              <w:rPr>
                <w:rFonts w:ascii="Arial" w:hAnsi="Arial" w:cs="Arial"/>
                <w:i/>
                <w:iCs/>
                <w:sz w:val="24"/>
                <w:szCs w:val="24"/>
              </w:rPr>
              <w:t>1/t</w:t>
            </w:r>
            <w:r w:rsidR="00786B63" w:rsidRPr="00447F64">
              <w:rPr>
                <w:rFonts w:ascii="Arial" w:hAnsi="Arial" w:cs="Arial"/>
                <w:sz w:val="24"/>
                <w:szCs w:val="24"/>
              </w:rPr>
              <w:t>,</w:t>
            </w:r>
            <w:r w:rsidR="00786B63" w:rsidRPr="00447F64">
              <w:rPr>
                <w:rFonts w:ascii="Arial" w:hAnsi="Arial" w:cs="Arial"/>
                <w:i/>
                <w:iCs/>
                <w:sz w:val="24"/>
                <w:szCs w:val="24"/>
              </w:rPr>
              <w:t xml:space="preserve"> </w:t>
            </w:r>
            <w:r w:rsidR="00786B63" w:rsidRPr="00447F64">
              <w:rPr>
                <w:rFonts w:ascii="Arial" w:hAnsi="Arial" w:cs="Arial"/>
                <w:sz w:val="24"/>
                <w:szCs w:val="24"/>
              </w:rPr>
              <w:t xml:space="preserve">þar sem </w:t>
            </w:r>
            <w:r w:rsidR="00786B63" w:rsidRPr="00447F64">
              <w:rPr>
                <w:rFonts w:ascii="Arial" w:hAnsi="Arial" w:cs="Arial"/>
                <w:i/>
                <w:iCs/>
                <w:sz w:val="24"/>
                <w:szCs w:val="24"/>
              </w:rPr>
              <w:t xml:space="preserve">t </w:t>
            </w:r>
            <w:r w:rsidR="00786B63" w:rsidRPr="00447F64">
              <w:rPr>
                <w:rFonts w:ascii="Arial" w:hAnsi="Arial" w:cs="Arial"/>
                <w:sz w:val="24"/>
                <w:szCs w:val="24"/>
              </w:rPr>
              <w:t>er annaðhvort jafnt og einn eða sá fjöldi ára sem næstur er heilum árum af eftirstöðva</w:t>
            </w:r>
            <w:r w:rsidR="00786B63" w:rsidRPr="00447F64">
              <w:rPr>
                <w:rFonts w:ascii="Arial" w:hAnsi="Arial" w:cs="Arial"/>
                <w:sz w:val="24"/>
                <w:szCs w:val="24"/>
              </w:rPr>
              <w:softHyphen/>
              <w:t>tíma eignarleigusamningsins.</w:t>
            </w:r>
            <w:r w:rsidRPr="00447F64">
              <w:rPr>
                <w:rFonts w:ascii="Arial" w:hAnsi="Arial" w:cs="Arial"/>
                <w:sz w:val="24"/>
                <w:szCs w:val="24"/>
              </w:rPr>
              <w:t>]</w:t>
            </w:r>
            <w:r w:rsidRPr="00447F64">
              <w:rPr>
                <w:rStyle w:val="FootnoteReference"/>
                <w:rFonts w:ascii="Arial" w:hAnsi="Arial" w:cs="Arial"/>
                <w:sz w:val="24"/>
                <w:szCs w:val="24"/>
              </w:rPr>
              <w:footnoteReference w:id="25"/>
            </w:r>
          </w:p>
          <w:p w:rsidR="008317D6" w:rsidRPr="00447F64" w:rsidRDefault="008317D6" w:rsidP="00E738BF">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VI. KAFLI</w:t>
            </w:r>
          </w:p>
          <w:p w:rsidR="008317D6" w:rsidRPr="00447F64" w:rsidRDefault="008317D6" w:rsidP="00E738BF">
            <w:pPr>
              <w:spacing w:before="100" w:beforeAutospacing="1" w:after="100" w:afterAutospacing="1" w:line="240" w:lineRule="auto"/>
              <w:jc w:val="center"/>
              <w:rPr>
                <w:rFonts w:ascii="Arial" w:eastAsia="Times New Roman" w:hAnsi="Arial" w:cs="Arial"/>
                <w:b/>
                <w:bCs/>
                <w:sz w:val="24"/>
                <w:szCs w:val="24"/>
                <w:lang w:eastAsia="is-IS"/>
              </w:rPr>
            </w:pPr>
            <w:r w:rsidRPr="00447F64">
              <w:rPr>
                <w:rFonts w:ascii="Arial" w:eastAsia="Times New Roman" w:hAnsi="Arial" w:cs="Arial"/>
                <w:b/>
                <w:bCs/>
                <w:sz w:val="24"/>
                <w:szCs w:val="24"/>
                <w:lang w:eastAsia="is-IS"/>
              </w:rPr>
              <w:t>Innramatsaðferð.</w:t>
            </w:r>
          </w:p>
          <w:p w:rsidR="008317D6" w:rsidRPr="00447F64" w:rsidRDefault="008317D6" w:rsidP="00E738BF">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26. gr.</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Fjármálaeftirlitið getur heimilað fjármálafyrirtækjum að nota innramatsaðferð (IRB) til að meta áhættuvegnar áhættuskuldbindingafjárhæðir í samræmi við ákvæði þessa kafla. Veita skal sérhverju fjármálafyrirtæki sérstakt leyfi. Leyfi skal aðeins veitt ef Fjármálaeftirlitið telur að kerfi þau sem fjármálafyrirtækið notar til að stjórna og meta útlánaáhættu séu traust, framkvæmdin sé heildstæð og að kerfin uppfylli eftirfarandi skilyrði sbr. 4. hluta viðauka VII skv. 55. gr. A:</w:t>
            </w:r>
          </w:p>
          <w:p w:rsidR="008317D6" w:rsidRPr="00447F64" w:rsidRDefault="008317D6" w:rsidP="00447F64">
            <w:pPr>
              <w:numPr>
                <w:ilvl w:val="0"/>
                <w:numId w:val="21"/>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Að matskerfi fjármálafyrirtækisins gefi skilmerkilega mynd af viðskiptavininum og eiginleikum áhættuskuldbindingarinnar, að það greini áhættuna sem tengd er viðskiptunum og að samkvæmni sé í matinu, </w:t>
            </w:r>
          </w:p>
          <w:p w:rsidR="008317D6" w:rsidRPr="00447F64" w:rsidRDefault="008317D6" w:rsidP="00447F64">
            <w:pPr>
              <w:numPr>
                <w:ilvl w:val="0"/>
                <w:numId w:val="21"/>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að innra mat og mat á vanskilum sem notað er við útreikning á eiginfjárkröfu, og tengd kerfi og ferlar, gegni veigamiklu hlutverki við áhættustýringu og ákvarð</w:t>
            </w:r>
            <w:r w:rsidRPr="00447F64">
              <w:rPr>
                <w:rFonts w:ascii="Arial" w:eastAsia="Times New Roman" w:hAnsi="Arial" w:cs="Arial"/>
                <w:sz w:val="24"/>
                <w:szCs w:val="24"/>
                <w:lang w:eastAsia="is-IS"/>
              </w:rPr>
              <w:softHyphen/>
              <w:t>ana</w:t>
            </w:r>
            <w:r w:rsidRPr="00447F64">
              <w:rPr>
                <w:rFonts w:ascii="Arial" w:eastAsia="Times New Roman" w:hAnsi="Arial" w:cs="Arial"/>
                <w:sz w:val="24"/>
                <w:szCs w:val="24"/>
                <w:lang w:eastAsia="is-IS"/>
              </w:rPr>
              <w:softHyphen/>
              <w:t>töku, við samþykki fyrirgreiðslna, við ráðstöfun eigin fjár innan fyrir</w:t>
            </w:r>
            <w:r w:rsidRPr="00447F64">
              <w:rPr>
                <w:rFonts w:ascii="Arial" w:eastAsia="Times New Roman" w:hAnsi="Arial" w:cs="Arial"/>
                <w:sz w:val="24"/>
                <w:szCs w:val="24"/>
                <w:lang w:eastAsia="is-IS"/>
              </w:rPr>
              <w:softHyphen/>
              <w:t xml:space="preserve">tækisins og við stjórnun þess, </w:t>
            </w:r>
          </w:p>
          <w:p w:rsidR="008317D6" w:rsidRPr="00447F64" w:rsidRDefault="008317D6" w:rsidP="00447F64">
            <w:pPr>
              <w:numPr>
                <w:ilvl w:val="0"/>
                <w:numId w:val="21"/>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að innan fjármálafyrirtækisins sé óháð áhættustýringardeild sem ber ábyrgð á matskerfunum, </w:t>
            </w:r>
          </w:p>
          <w:p w:rsidR="008317D6" w:rsidRPr="00447F64" w:rsidRDefault="008317D6" w:rsidP="00447F64">
            <w:pPr>
              <w:numPr>
                <w:ilvl w:val="0"/>
                <w:numId w:val="21"/>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að fjármálafyrirtækið safni og geymi öll gögn til að styðja við áhættumat og stjórnun þess, og </w:t>
            </w:r>
          </w:p>
          <w:p w:rsidR="008317D6" w:rsidRPr="00447F64" w:rsidRDefault="008317D6" w:rsidP="00447F64">
            <w:pPr>
              <w:numPr>
                <w:ilvl w:val="0"/>
                <w:numId w:val="21"/>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að fjármálafyrirtækið haldi skrár yfir matskerfið og forsendur þess og að þau séu staðfest </w:t>
            </w:r>
            <w:r w:rsidRPr="00447F64">
              <w:rPr>
                <w:rFonts w:ascii="Arial" w:eastAsia="Times New Roman" w:hAnsi="Arial" w:cs="Arial"/>
                <w:i/>
                <w:iCs/>
                <w:sz w:val="24"/>
                <w:szCs w:val="24"/>
                <w:lang w:eastAsia="is-IS"/>
              </w:rPr>
              <w:t xml:space="preserve">(e. </w:t>
            </w:r>
            <w:proofErr w:type="spellStart"/>
            <w:r w:rsidRPr="00447F64">
              <w:rPr>
                <w:rFonts w:ascii="Arial" w:eastAsia="Times New Roman" w:hAnsi="Arial" w:cs="Arial"/>
                <w:i/>
                <w:iCs/>
                <w:sz w:val="24"/>
                <w:szCs w:val="24"/>
                <w:lang w:eastAsia="is-IS"/>
              </w:rPr>
              <w:t>validated</w:t>
            </w:r>
            <w:proofErr w:type="spellEnd"/>
            <w:r w:rsidRPr="00447F64">
              <w:rPr>
                <w:rFonts w:ascii="Arial" w:eastAsia="Times New Roman" w:hAnsi="Arial" w:cs="Arial"/>
                <w:i/>
                <w:iCs/>
                <w:sz w:val="24"/>
                <w:szCs w:val="24"/>
                <w:lang w:eastAsia="is-IS"/>
              </w:rPr>
              <w:t>)</w:t>
            </w:r>
            <w:r w:rsidRPr="00447F64">
              <w:rPr>
                <w:rFonts w:ascii="Arial" w:eastAsia="Times New Roman" w:hAnsi="Arial" w:cs="Arial"/>
                <w:sz w:val="24"/>
                <w:szCs w:val="24"/>
                <w:lang w:eastAsia="is-IS"/>
              </w:rPr>
              <w:t>.</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Fjármálafyrirtæki, sem sækir um leyfi til að nota innramatsaðferðina, þarf að sýna fram á að það hafi notað kerfi til að meta áhættuflokkana og til áhættustýringar sem uppfyllir að mestu ofangreind skilyrði í 3 ár áður en leyfi er veitt. Sæki fjármálafyrirtæki um leyfi til að nota innramatsaðferð fyrir 2010 má stytta þennan tíma í 2 ár fram til 31. desember 2009.</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Fjármálafyrirtæki sem sækir um leyfi til að nota eigið mat á tapi að gefnum vanefndum (LGD) og breytistuðlum, þarf að sýna fram á að það hafi notað eigið mat á tapi að gefnum vanefndum og breytistuðlum sem uppfyllir að mestu ofangreind skilyrði í 3 ár áður en leyfi er veitt. Þennan tíma má stytta í 2 ár fram til 31. desember 2008.</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Ef fjármálafyrirtæki uppfyllir ekki lengur skilyrði þessa kafla þarf það að gera grein fyrir þeim ráðstöfunum sem það hyggst grípa til, endurbóta eða sýna fram á að áhrifin séu óveruleg.</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lastRenderedPageBreak/>
              <w:t>Fjármálafyrirtæki skal nota innramatsaðferð á allar áhættuskuldbindingar/-kröfur, þ.m.t. hlutabréfaeign, nema kveðið sé á um annað í þessum kafla.</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Fjármálaeftirlitið getur heimilað að innramatsaðferðin sé tekin upp í áföngum eftir áhættu</w:t>
            </w:r>
            <w:r w:rsidRPr="00447F64">
              <w:rPr>
                <w:rFonts w:ascii="Arial" w:eastAsia="Times New Roman" w:hAnsi="Arial" w:cs="Arial"/>
                <w:sz w:val="24"/>
                <w:szCs w:val="24"/>
                <w:lang w:eastAsia="is-IS"/>
              </w:rPr>
              <w:softHyphen/>
              <w:t>flokkum.</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Hafi fjármálafyrirtæki fengið leyfi til að nota eigið mat á tapi að gefnum vanefndum (LGD) og breytistuðlum, er því ekki heimilt að nota aðrar aðferðir við mat á áhættu</w:t>
            </w:r>
            <w:r w:rsidRPr="00447F64">
              <w:rPr>
                <w:rFonts w:ascii="Arial" w:eastAsia="Times New Roman" w:hAnsi="Arial" w:cs="Arial"/>
                <w:sz w:val="24"/>
                <w:szCs w:val="24"/>
                <w:lang w:eastAsia="is-IS"/>
              </w:rPr>
              <w:softHyphen/>
              <w:t>skuldbindingum sínum.</w:t>
            </w:r>
          </w:p>
          <w:p w:rsidR="008317D6" w:rsidRPr="00447F64" w:rsidRDefault="008317D6" w:rsidP="00E738BF">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27. gr.</w:t>
            </w:r>
          </w:p>
          <w:p w:rsidR="008317D6" w:rsidRPr="00447F64" w:rsidRDefault="008317D6" w:rsidP="00E738BF">
            <w:pPr>
              <w:spacing w:before="100" w:beforeAutospacing="1" w:after="100" w:afterAutospacing="1" w:line="240" w:lineRule="auto"/>
              <w:jc w:val="center"/>
              <w:rPr>
                <w:rFonts w:ascii="Arial" w:eastAsia="Times New Roman" w:hAnsi="Arial" w:cs="Arial"/>
                <w:i/>
                <w:iCs/>
                <w:sz w:val="24"/>
                <w:szCs w:val="24"/>
                <w:lang w:eastAsia="is-IS"/>
              </w:rPr>
            </w:pPr>
            <w:r w:rsidRPr="00447F64">
              <w:rPr>
                <w:rFonts w:ascii="Arial" w:eastAsia="Times New Roman" w:hAnsi="Arial" w:cs="Arial"/>
                <w:i/>
                <w:iCs/>
                <w:sz w:val="24"/>
                <w:szCs w:val="24"/>
                <w:lang w:eastAsia="is-IS"/>
              </w:rPr>
              <w:t>Flokkun áhættuskuldbindinga.</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Sérhverja áhættuskuldbindingu skal flokka í einhverja af eftirfarandi tegundum áhættu</w:t>
            </w:r>
            <w:r w:rsidRPr="00447F64">
              <w:rPr>
                <w:rFonts w:ascii="Arial" w:eastAsia="Times New Roman" w:hAnsi="Arial" w:cs="Arial"/>
                <w:sz w:val="24"/>
                <w:szCs w:val="24"/>
                <w:lang w:eastAsia="is-IS"/>
              </w:rPr>
              <w:softHyphen/>
              <w:t>skuldbindinga og skal gæta samræmis og samkvæmni í þeirri flokkun:</w:t>
            </w:r>
          </w:p>
          <w:p w:rsidR="008317D6" w:rsidRPr="00447F64" w:rsidRDefault="008317D6" w:rsidP="00447F64">
            <w:pPr>
              <w:numPr>
                <w:ilvl w:val="0"/>
                <w:numId w:val="22"/>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Eignaliður sem er áhættukrafa á eða með ábyrgð ríkja og seðlabanka, </w:t>
            </w:r>
          </w:p>
          <w:p w:rsidR="008317D6" w:rsidRPr="00447F64" w:rsidRDefault="008317D6" w:rsidP="00447F64">
            <w:pPr>
              <w:numPr>
                <w:ilvl w:val="0"/>
                <w:numId w:val="22"/>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eignaliður sem er áhættukrafa á eða með ábyrgð fjármálafyrirtækis, </w:t>
            </w:r>
          </w:p>
          <w:p w:rsidR="008317D6" w:rsidRPr="00447F64" w:rsidRDefault="008317D6" w:rsidP="00447F64">
            <w:pPr>
              <w:numPr>
                <w:ilvl w:val="0"/>
                <w:numId w:val="22"/>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eignaliður sem er áhættukrafa á eða með ábyrgð fyrirtækja, </w:t>
            </w:r>
          </w:p>
          <w:p w:rsidR="008317D6" w:rsidRPr="00447F64" w:rsidRDefault="008317D6" w:rsidP="00447F64">
            <w:pPr>
              <w:numPr>
                <w:ilvl w:val="0"/>
                <w:numId w:val="22"/>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eignaliður sem er áhættukrafa á eða með ábyrgð einstaklinga og lítilla og meðalstórra fyrirtækja (smásölu áhættuskuldbindingar), </w:t>
            </w:r>
          </w:p>
          <w:p w:rsidR="008317D6" w:rsidRPr="00447F64" w:rsidRDefault="008317D6" w:rsidP="00447F64">
            <w:pPr>
              <w:numPr>
                <w:ilvl w:val="0"/>
                <w:numId w:val="22"/>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hlutabréfastöður, </w:t>
            </w:r>
          </w:p>
          <w:p w:rsidR="008317D6" w:rsidRPr="00447F64" w:rsidRDefault="008317D6" w:rsidP="00447F64">
            <w:pPr>
              <w:numPr>
                <w:ilvl w:val="0"/>
                <w:numId w:val="22"/>
              </w:numPr>
              <w:spacing w:before="100" w:beforeAutospacing="1" w:after="100" w:afterAutospacing="1" w:line="240" w:lineRule="auto"/>
              <w:jc w:val="both"/>
              <w:rPr>
                <w:rFonts w:ascii="Arial" w:eastAsia="Times New Roman" w:hAnsi="Arial" w:cs="Arial"/>
                <w:sz w:val="24"/>
                <w:szCs w:val="24"/>
                <w:lang w:eastAsia="is-IS"/>
              </w:rPr>
            </w:pPr>
            <w:proofErr w:type="spellStart"/>
            <w:r w:rsidRPr="00447F64">
              <w:rPr>
                <w:rFonts w:ascii="Arial" w:eastAsia="Times New Roman" w:hAnsi="Arial" w:cs="Arial"/>
                <w:sz w:val="24"/>
                <w:szCs w:val="24"/>
                <w:lang w:eastAsia="is-IS"/>
              </w:rPr>
              <w:t>verðbréfaðar</w:t>
            </w:r>
            <w:proofErr w:type="spellEnd"/>
            <w:r w:rsidRPr="00447F64">
              <w:rPr>
                <w:rFonts w:ascii="Arial" w:eastAsia="Times New Roman" w:hAnsi="Arial" w:cs="Arial"/>
                <w:sz w:val="24"/>
                <w:szCs w:val="24"/>
                <w:lang w:eastAsia="is-IS"/>
              </w:rPr>
              <w:t xml:space="preserve"> stöður, </w:t>
            </w:r>
          </w:p>
          <w:p w:rsidR="008317D6" w:rsidRPr="00447F64" w:rsidRDefault="008317D6" w:rsidP="00447F64">
            <w:pPr>
              <w:numPr>
                <w:ilvl w:val="0"/>
                <w:numId w:val="22"/>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aðrar eignir sem fela ekki í sér útlánaáhættu </w:t>
            </w:r>
            <w:r w:rsidRPr="00447F64">
              <w:rPr>
                <w:rFonts w:ascii="Arial" w:eastAsia="Times New Roman" w:hAnsi="Arial" w:cs="Arial"/>
                <w:i/>
                <w:iCs/>
                <w:sz w:val="24"/>
                <w:szCs w:val="24"/>
                <w:lang w:eastAsia="is-IS"/>
              </w:rPr>
              <w:t xml:space="preserve">(e. </w:t>
            </w:r>
            <w:proofErr w:type="spellStart"/>
            <w:r w:rsidRPr="00447F64">
              <w:rPr>
                <w:rFonts w:ascii="Arial" w:eastAsia="Times New Roman" w:hAnsi="Arial" w:cs="Arial"/>
                <w:i/>
                <w:iCs/>
                <w:sz w:val="24"/>
                <w:szCs w:val="24"/>
                <w:lang w:eastAsia="is-IS"/>
              </w:rPr>
              <w:t>other</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non</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credit</w:t>
            </w:r>
            <w:proofErr w:type="spellEnd"/>
            <w:r w:rsidRPr="00447F64">
              <w:rPr>
                <w:rFonts w:ascii="Arial" w:eastAsia="Times New Roman" w:hAnsi="Arial" w:cs="Arial"/>
                <w:i/>
                <w:iCs/>
                <w:sz w:val="24"/>
                <w:szCs w:val="24"/>
                <w:lang w:eastAsia="is-IS"/>
              </w:rPr>
              <w:t>-</w:t>
            </w:r>
            <w:proofErr w:type="spellStart"/>
            <w:r w:rsidRPr="00447F64">
              <w:rPr>
                <w:rFonts w:ascii="Arial" w:eastAsia="Times New Roman" w:hAnsi="Arial" w:cs="Arial"/>
                <w:i/>
                <w:iCs/>
                <w:sz w:val="24"/>
                <w:szCs w:val="24"/>
                <w:lang w:eastAsia="is-IS"/>
              </w:rPr>
              <w:t>obligation</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assets</w:t>
            </w:r>
            <w:proofErr w:type="spellEnd"/>
            <w:r w:rsidRPr="00447F64">
              <w:rPr>
                <w:rFonts w:ascii="Arial" w:eastAsia="Times New Roman" w:hAnsi="Arial" w:cs="Arial"/>
                <w:i/>
                <w:iCs/>
                <w:sz w:val="24"/>
                <w:szCs w:val="24"/>
                <w:lang w:eastAsia="is-IS"/>
              </w:rPr>
              <w:t>)</w:t>
            </w:r>
            <w:r w:rsidRPr="00447F64">
              <w:rPr>
                <w:rFonts w:ascii="Arial" w:eastAsia="Times New Roman" w:hAnsi="Arial" w:cs="Arial"/>
                <w:sz w:val="24"/>
                <w:szCs w:val="24"/>
                <w:lang w:eastAsia="is-IS"/>
              </w:rPr>
              <w:t>.</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Áhættuskuldbindingar héraðs- og sveitarstjórna og opinberra stofnana sem flokkast eins og áhættuskuldbindingar ríkja samkvæmt staðalaðferð skal flokka eins og áhættu</w:t>
            </w:r>
            <w:r w:rsidRPr="00447F64">
              <w:rPr>
                <w:rFonts w:ascii="Arial" w:eastAsia="Times New Roman" w:hAnsi="Arial" w:cs="Arial"/>
                <w:sz w:val="24"/>
                <w:szCs w:val="24"/>
                <w:lang w:eastAsia="is-IS"/>
              </w:rPr>
              <w:softHyphen/>
              <w:t>skuldbindingar ríkja og seðlabanka. Áhættuskuldbindingar fjölþjóða þróunarbanka og alþjóðastofnana sem hafa áhættuvog 0% samkvæmt staðalaðferð skal einnig flokka á sama hátt.</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Áhættuskuldbindingar héraðs- og sveitarstjórna sem ekki flokkast eins og áhættu</w:t>
            </w:r>
            <w:r w:rsidRPr="00447F64">
              <w:rPr>
                <w:rFonts w:ascii="Arial" w:eastAsia="Times New Roman" w:hAnsi="Arial" w:cs="Arial"/>
                <w:sz w:val="24"/>
                <w:szCs w:val="24"/>
                <w:lang w:eastAsia="is-IS"/>
              </w:rPr>
              <w:softHyphen/>
              <w:t>skuldbindingar ríkja, opinberra stofnana sem flokkast eins og fjármálafyrirtæki og fjölþjóða þróunarbanka sem ekki hafa áhættuvog 0% samkvæmt staðalaðferð skal flokka með áhættuskuldbindingum fjármálafyrirtækja.</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Áhættuskuldbindingar einstaklinga, lítilla og meðalstórra fyrirtækja skulu uppfylla skilyrði 17. gr. Auk þess þarf áhættustýring þessara áhættuskuldbindinga sem heildar </w:t>
            </w:r>
            <w:r w:rsidRPr="00447F64">
              <w:rPr>
                <w:rFonts w:ascii="Arial" w:eastAsia="Times New Roman" w:hAnsi="Arial" w:cs="Arial"/>
                <w:i/>
                <w:iCs/>
                <w:sz w:val="24"/>
                <w:szCs w:val="24"/>
                <w:lang w:eastAsia="is-IS"/>
              </w:rPr>
              <w:t xml:space="preserve">(e. </w:t>
            </w:r>
            <w:proofErr w:type="spellStart"/>
            <w:r w:rsidRPr="00447F64">
              <w:rPr>
                <w:rFonts w:ascii="Arial" w:eastAsia="Times New Roman" w:hAnsi="Arial" w:cs="Arial"/>
                <w:i/>
                <w:iCs/>
                <w:sz w:val="24"/>
                <w:szCs w:val="24"/>
                <w:lang w:eastAsia="is-IS"/>
              </w:rPr>
              <w:t>retail</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portfolio</w:t>
            </w:r>
            <w:proofErr w:type="spellEnd"/>
            <w:r w:rsidRPr="00447F64">
              <w:rPr>
                <w:rFonts w:ascii="Arial" w:eastAsia="Times New Roman" w:hAnsi="Arial" w:cs="Arial"/>
                <w:i/>
                <w:iCs/>
                <w:sz w:val="24"/>
                <w:szCs w:val="24"/>
                <w:lang w:eastAsia="is-IS"/>
              </w:rPr>
              <w:t>)</w:t>
            </w:r>
            <w:r w:rsidRPr="00447F64">
              <w:rPr>
                <w:rFonts w:ascii="Arial" w:eastAsia="Times New Roman" w:hAnsi="Arial" w:cs="Arial"/>
                <w:sz w:val="24"/>
                <w:szCs w:val="24"/>
                <w:lang w:eastAsia="is-IS"/>
              </w:rPr>
              <w:t xml:space="preserve"> að vera stöðug yfir tíma og samræmd.</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Áhættuskuldbindingar sem ekki teljast lán og eru víkjandi eftirstæðar kröfur á eignir eða tekjur útgefanda auk lána með slík einkenni skulu flokkast með hlutabréfastöðum.</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Greina skal sérstaklega innan áhættuflokks fyrirtækja sértækar lána</w:t>
            </w:r>
            <w:r w:rsidRPr="00447F64">
              <w:rPr>
                <w:rFonts w:ascii="Arial" w:eastAsia="Times New Roman" w:hAnsi="Arial" w:cs="Arial"/>
                <w:sz w:val="24"/>
                <w:szCs w:val="24"/>
                <w:lang w:eastAsia="is-IS"/>
              </w:rPr>
              <w:softHyphen/>
              <w:t>áhættu</w:t>
            </w:r>
            <w:r w:rsidRPr="00447F64">
              <w:rPr>
                <w:rFonts w:ascii="Arial" w:eastAsia="Times New Roman" w:hAnsi="Arial" w:cs="Arial"/>
                <w:sz w:val="24"/>
                <w:szCs w:val="24"/>
                <w:lang w:eastAsia="is-IS"/>
              </w:rPr>
              <w:softHyphen/>
              <w:t xml:space="preserve">skuldbindingar </w:t>
            </w:r>
            <w:r w:rsidRPr="00447F64">
              <w:rPr>
                <w:rFonts w:ascii="Arial" w:eastAsia="Times New Roman" w:hAnsi="Arial" w:cs="Arial"/>
                <w:i/>
                <w:iCs/>
                <w:sz w:val="24"/>
                <w:szCs w:val="24"/>
                <w:lang w:eastAsia="is-IS"/>
              </w:rPr>
              <w:t xml:space="preserve">(e. </w:t>
            </w:r>
            <w:proofErr w:type="spellStart"/>
            <w:r w:rsidRPr="00447F64">
              <w:rPr>
                <w:rFonts w:ascii="Arial" w:eastAsia="Times New Roman" w:hAnsi="Arial" w:cs="Arial"/>
                <w:i/>
                <w:iCs/>
                <w:sz w:val="24"/>
                <w:szCs w:val="24"/>
                <w:lang w:eastAsia="is-IS"/>
              </w:rPr>
              <w:t>specialised</w:t>
            </w:r>
            <w:proofErr w:type="spellEnd"/>
            <w:r w:rsidRPr="00447F64">
              <w:rPr>
                <w:rFonts w:ascii="Arial" w:eastAsia="Times New Roman" w:hAnsi="Arial" w:cs="Arial"/>
                <w:i/>
                <w:iCs/>
                <w:sz w:val="24"/>
                <w:szCs w:val="24"/>
                <w:lang w:eastAsia="is-IS"/>
              </w:rPr>
              <w:t xml:space="preserve"> lending </w:t>
            </w:r>
            <w:proofErr w:type="spellStart"/>
            <w:r w:rsidRPr="00447F64">
              <w:rPr>
                <w:rFonts w:ascii="Arial" w:eastAsia="Times New Roman" w:hAnsi="Arial" w:cs="Arial"/>
                <w:i/>
                <w:iCs/>
                <w:sz w:val="24"/>
                <w:szCs w:val="24"/>
                <w:lang w:eastAsia="is-IS"/>
              </w:rPr>
              <w:t>exposures</w:t>
            </w:r>
            <w:proofErr w:type="spellEnd"/>
            <w:r w:rsidRPr="00447F64">
              <w:rPr>
                <w:rFonts w:ascii="Arial" w:eastAsia="Times New Roman" w:hAnsi="Arial" w:cs="Arial"/>
                <w:i/>
                <w:iCs/>
                <w:sz w:val="24"/>
                <w:szCs w:val="24"/>
                <w:lang w:eastAsia="is-IS"/>
              </w:rPr>
              <w:t xml:space="preserve">) </w:t>
            </w:r>
            <w:r w:rsidRPr="00447F64">
              <w:rPr>
                <w:rFonts w:ascii="Arial" w:eastAsia="Times New Roman" w:hAnsi="Arial" w:cs="Arial"/>
                <w:sz w:val="24"/>
                <w:szCs w:val="24"/>
                <w:lang w:eastAsia="is-IS"/>
              </w:rPr>
              <w:t>sem hafa eftirfarandi einkenni:</w:t>
            </w:r>
          </w:p>
          <w:p w:rsidR="008317D6" w:rsidRPr="00447F64" w:rsidRDefault="008317D6" w:rsidP="00447F64">
            <w:pPr>
              <w:numPr>
                <w:ilvl w:val="0"/>
                <w:numId w:val="23"/>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lastRenderedPageBreak/>
              <w:t xml:space="preserve">Áhættukrafan er á rekstrareiningu sem sérstaklega var stofnuð til að fjármagna eða starfrækja efnislega eign, </w:t>
            </w:r>
          </w:p>
          <w:p w:rsidR="008317D6" w:rsidRPr="00447F64" w:rsidRDefault="008317D6" w:rsidP="00447F64">
            <w:pPr>
              <w:numPr>
                <w:ilvl w:val="0"/>
                <w:numId w:val="23"/>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samningsákvæðin veita lánveitanda töluverð yfirráð yfir eigninni og tekjunum sem þær gefa af sér, </w:t>
            </w:r>
          </w:p>
          <w:p w:rsidR="008317D6" w:rsidRPr="00447F64" w:rsidRDefault="008317D6" w:rsidP="00447F64">
            <w:pPr>
              <w:numPr>
                <w:ilvl w:val="0"/>
                <w:numId w:val="23"/>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megin uppspretta endurgreiðslunnar er frá þeim tekjum sem hinar fjármögnuðu eignir gefa af sér.</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Lánaáhættuskuldbindingar sem ekki flokkast undir a., b. og d. lið</w:t>
            </w:r>
            <w:r w:rsidR="00B576B9" w:rsidRPr="00447F64">
              <w:rPr>
                <w:rStyle w:val="FootnoteReference"/>
                <w:rFonts w:ascii="Arial" w:eastAsia="Times New Roman" w:hAnsi="Arial" w:cs="Arial"/>
                <w:sz w:val="24"/>
                <w:szCs w:val="24"/>
                <w:lang w:eastAsia="is-IS"/>
              </w:rPr>
              <w:footnoteReference w:id="26"/>
            </w:r>
            <w:r w:rsidRPr="00447F64">
              <w:rPr>
                <w:rFonts w:ascii="Arial" w:eastAsia="Times New Roman" w:hAnsi="Arial" w:cs="Arial"/>
                <w:sz w:val="24"/>
                <w:szCs w:val="24"/>
                <w:lang w:eastAsia="is-IS"/>
              </w:rPr>
              <w:t xml:space="preserve"> 1. mgr. skulu flokkast með áhættuskuldbindingum fyrirtækja (c. lið). </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Flokka skal lokavirði samkvæmt eignaleigusamningum </w:t>
            </w:r>
            <w:r w:rsidRPr="00447F64">
              <w:rPr>
                <w:rFonts w:ascii="Arial" w:eastAsia="Times New Roman" w:hAnsi="Arial" w:cs="Arial"/>
                <w:i/>
                <w:iCs/>
                <w:sz w:val="24"/>
                <w:szCs w:val="24"/>
                <w:lang w:eastAsia="is-IS"/>
              </w:rPr>
              <w:t xml:space="preserve">(e. </w:t>
            </w:r>
            <w:proofErr w:type="spellStart"/>
            <w:r w:rsidRPr="00447F64">
              <w:rPr>
                <w:rFonts w:ascii="Arial" w:eastAsia="Times New Roman" w:hAnsi="Arial" w:cs="Arial"/>
                <w:i/>
                <w:iCs/>
                <w:sz w:val="24"/>
                <w:szCs w:val="24"/>
                <w:lang w:eastAsia="is-IS"/>
              </w:rPr>
              <w:t>leased</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property</w:t>
            </w:r>
            <w:proofErr w:type="spellEnd"/>
            <w:r w:rsidRPr="00447F64">
              <w:rPr>
                <w:rFonts w:ascii="Arial" w:eastAsia="Times New Roman" w:hAnsi="Arial" w:cs="Arial"/>
                <w:i/>
                <w:iCs/>
                <w:sz w:val="24"/>
                <w:szCs w:val="24"/>
                <w:lang w:eastAsia="is-IS"/>
              </w:rPr>
              <w:t>)</w:t>
            </w:r>
            <w:r w:rsidRPr="00447F64">
              <w:rPr>
                <w:rFonts w:ascii="Arial" w:eastAsia="Times New Roman" w:hAnsi="Arial" w:cs="Arial"/>
                <w:sz w:val="24"/>
                <w:szCs w:val="24"/>
                <w:lang w:eastAsia="is-IS"/>
              </w:rPr>
              <w:t xml:space="preserve"> undir g. lið 1. mgr. séu þær ekki innifaldar í áhættuskuldbindingum vegna fyrrgreindra samninga eins og skilgreint er í 3. hluta, 4. </w:t>
            </w:r>
            <w:proofErr w:type="spellStart"/>
            <w:r w:rsidRPr="00447F64">
              <w:rPr>
                <w:rFonts w:ascii="Arial" w:eastAsia="Times New Roman" w:hAnsi="Arial" w:cs="Arial"/>
                <w:sz w:val="24"/>
                <w:szCs w:val="24"/>
                <w:lang w:eastAsia="is-IS"/>
              </w:rPr>
              <w:t>tl</w:t>
            </w:r>
            <w:proofErr w:type="spellEnd"/>
            <w:r w:rsidRPr="00447F64">
              <w:rPr>
                <w:rFonts w:ascii="Arial" w:eastAsia="Times New Roman" w:hAnsi="Arial" w:cs="Arial"/>
                <w:sz w:val="24"/>
                <w:szCs w:val="24"/>
                <w:lang w:eastAsia="is-IS"/>
              </w:rPr>
              <w:t>., viðauka VII skv. 55. gr. A.</w:t>
            </w:r>
          </w:p>
          <w:p w:rsidR="008317D6" w:rsidRPr="00447F64" w:rsidRDefault="008317D6" w:rsidP="00E738BF">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28. gr.</w:t>
            </w:r>
          </w:p>
          <w:p w:rsidR="008317D6" w:rsidRPr="00447F64" w:rsidRDefault="008317D6" w:rsidP="00E738BF">
            <w:pPr>
              <w:spacing w:before="100" w:beforeAutospacing="1" w:after="100" w:afterAutospacing="1" w:line="240" w:lineRule="auto"/>
              <w:jc w:val="center"/>
              <w:rPr>
                <w:rFonts w:ascii="Arial" w:eastAsia="Times New Roman" w:hAnsi="Arial" w:cs="Arial"/>
                <w:i/>
                <w:iCs/>
                <w:sz w:val="24"/>
                <w:szCs w:val="24"/>
                <w:lang w:eastAsia="is-IS"/>
              </w:rPr>
            </w:pPr>
            <w:r w:rsidRPr="00447F64">
              <w:rPr>
                <w:rFonts w:ascii="Arial" w:eastAsia="Times New Roman" w:hAnsi="Arial" w:cs="Arial"/>
                <w:i/>
                <w:iCs/>
                <w:sz w:val="24"/>
                <w:szCs w:val="24"/>
                <w:lang w:eastAsia="is-IS"/>
              </w:rPr>
              <w:t>Mat áhættuveginna áhættuskuldbindinga.</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Meta skal áhættuvegnar áhættuskuldbindingafjárhæðir vegna útlánaáhættu allra flokka áhættuskuldbindinga skv. 27. gr. að undanskildum </w:t>
            </w:r>
            <w:proofErr w:type="spellStart"/>
            <w:r w:rsidRPr="00447F64">
              <w:rPr>
                <w:rFonts w:ascii="Arial" w:eastAsia="Times New Roman" w:hAnsi="Arial" w:cs="Arial"/>
                <w:sz w:val="24"/>
                <w:szCs w:val="24"/>
                <w:lang w:eastAsia="is-IS"/>
              </w:rPr>
              <w:t>verðbréfuðum</w:t>
            </w:r>
            <w:proofErr w:type="spellEnd"/>
            <w:r w:rsidRPr="00447F64">
              <w:rPr>
                <w:rFonts w:ascii="Arial" w:eastAsia="Times New Roman" w:hAnsi="Arial" w:cs="Arial"/>
                <w:sz w:val="24"/>
                <w:szCs w:val="24"/>
                <w:lang w:eastAsia="is-IS"/>
              </w:rPr>
              <w:t xml:space="preserve"> stöðum samkvæmt viðauka VII skv. 55. gr. A, 1. hluta, 1.- 27. lið, nema þær séu dregnar frá eiginfjárgrunni.</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Meta skal áhættuvegnar áhættuskuldbindingafjárhæðir vegna þynningaráhættu fyrir keyptar kröfur samkvæmt 1. hluta, 28. lið í sama viðauka. Hafi fjármálafyrirtæki fullan endurkröfurétt á seljanda krafnanna vegna hættu á vanefndum og þynningaráhættu má fara með þær sem veðtryggðar áhættuskuldbindingar </w:t>
            </w:r>
            <w:r w:rsidRPr="00447F64">
              <w:rPr>
                <w:rFonts w:ascii="Arial" w:eastAsia="Times New Roman" w:hAnsi="Arial" w:cs="Arial"/>
                <w:i/>
                <w:iCs/>
                <w:sz w:val="24"/>
                <w:szCs w:val="24"/>
                <w:lang w:eastAsia="is-IS"/>
              </w:rPr>
              <w:t xml:space="preserve">(e. collateralised </w:t>
            </w:r>
            <w:proofErr w:type="spellStart"/>
            <w:r w:rsidRPr="00447F64">
              <w:rPr>
                <w:rFonts w:ascii="Arial" w:eastAsia="Times New Roman" w:hAnsi="Arial" w:cs="Arial"/>
                <w:i/>
                <w:iCs/>
                <w:sz w:val="24"/>
                <w:szCs w:val="24"/>
                <w:lang w:eastAsia="is-IS"/>
              </w:rPr>
              <w:t>exposure</w:t>
            </w:r>
            <w:proofErr w:type="spellEnd"/>
            <w:r w:rsidRPr="00447F64">
              <w:rPr>
                <w:rFonts w:ascii="Arial" w:eastAsia="Times New Roman" w:hAnsi="Arial" w:cs="Arial"/>
                <w:i/>
                <w:iCs/>
                <w:sz w:val="24"/>
                <w:szCs w:val="24"/>
                <w:lang w:eastAsia="is-IS"/>
              </w:rPr>
              <w:t>)</w:t>
            </w:r>
            <w:r w:rsidRPr="00447F64">
              <w:rPr>
                <w:rFonts w:ascii="Arial" w:eastAsia="Times New Roman" w:hAnsi="Arial" w:cs="Arial"/>
                <w:sz w:val="24"/>
                <w:szCs w:val="24"/>
                <w:lang w:eastAsia="is-IS"/>
              </w:rPr>
              <w:t>.</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Byggja skal útreikning áhættuveginna áhættuskuldbindingafjárhæða vegna útlána- og þynningaráhættu á viðeigandi breytum tengdum áhættuskuldbindingum, þ. á m. líkum á vanefndum (PD), tapi að gefnum vanefndum (LGD), gjalddaga og útlánagildi áhættu</w:t>
            </w:r>
            <w:r w:rsidRPr="00447F64">
              <w:rPr>
                <w:rFonts w:ascii="Arial" w:eastAsia="Times New Roman" w:hAnsi="Arial" w:cs="Arial"/>
                <w:sz w:val="24"/>
                <w:szCs w:val="24"/>
                <w:lang w:eastAsia="is-IS"/>
              </w:rPr>
              <w:softHyphen/>
              <w:t>skuldbindingarinnar. Meta skal PD og LGD samkvæmt 2. hluta, ofangreinds viðauka VII.</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Þrátt fyrir ákvæði 3. mgr. getur Fjármálaeftirlitið veitt leyfi til að meta áhættuvegnar áhættuskuldbindingafjárhæðir vegna útlánaáhættu fyrir hlutabréfastöður sbr. 17.-26. lið 1. hluta viðauka VII skv. 55. gr. A. Einungis skal veitt leyfi til að nota aðferðir í 25.-26. lið að uppfylltum þeim skilyrðum sem tilgreind eru í 115.-123. lið 4. hluta sama viðauka.</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Meta má áhættuvegnar áhættuskuldbindingafjárhæðir vegna útlánaáhættu fyrir sértækar lánaáhættuskuldbindingar sbr. 6. lið 1. hluta viðauka VII skv. 55. gr. A og skal Fjármálaeftirlitið gefa út leiðbeiningar um þær áhættuvogir sem nota skal og samþykkja aðferðir fjármálafyrirtækisins.</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Fjármálafyrirtæki skulu nota eigin líkur á vanefndum (PD) fyrir áhættuflokka a. til d. í 1. mgr. 27. gr. og eigið mat á tapi að gefnum vanefndum (LGD) fyrir </w:t>
            </w:r>
            <w:r w:rsidRPr="00447F64">
              <w:rPr>
                <w:rFonts w:ascii="Arial" w:eastAsia="Times New Roman" w:hAnsi="Arial" w:cs="Arial"/>
                <w:sz w:val="24"/>
                <w:szCs w:val="24"/>
                <w:lang w:eastAsia="is-IS"/>
              </w:rPr>
              <w:lastRenderedPageBreak/>
              <w:t>áhættuflokka d. sömu málsgreinar í samræmi við 26. gr. og 4. hluta viðauka VII skv. 55. gr. A. Fjármáleftirlitið getur veitt sérstakt leyfi til að nota eigin LGD og breytistuðla fyrir áhættuflokka a. til c. í samræmi við 26. gr. og 4. hluta ofangreinds viðauka. Að öðrum kosti skal nota LGD-gildin og breytistuðlana í 8. lið, 2. hluta sama viðauka.</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proofErr w:type="spellStart"/>
            <w:r w:rsidRPr="00447F64">
              <w:rPr>
                <w:rFonts w:ascii="Arial" w:eastAsia="Times New Roman" w:hAnsi="Arial" w:cs="Arial"/>
                <w:sz w:val="24"/>
                <w:szCs w:val="24"/>
                <w:lang w:eastAsia="is-IS"/>
              </w:rPr>
              <w:t>Verðbréfaðar</w:t>
            </w:r>
            <w:proofErr w:type="spellEnd"/>
            <w:r w:rsidRPr="00447F64">
              <w:rPr>
                <w:rFonts w:ascii="Arial" w:eastAsia="Times New Roman" w:hAnsi="Arial" w:cs="Arial"/>
                <w:sz w:val="24"/>
                <w:szCs w:val="24"/>
                <w:lang w:eastAsia="is-IS"/>
              </w:rPr>
              <w:t xml:space="preserve"> stöður skulu metnar samkvæmt ákvæðum VIII. kafla.</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Ef áhættuskuldbindingar í formi sjóða um sameiginlega fjárfestingu uppfylla skilyrði 5. og 6. mgr. 24. gr. skal meta áhættuvegnar áhættuskuldbindingafjárhæðir undirliggjandi eigna sjóðanna samkvæmt ákvæðum þessa kafla.</w:t>
            </w:r>
          </w:p>
          <w:p w:rsidR="008317D6" w:rsidRPr="00447F64" w:rsidRDefault="008317D6" w:rsidP="00E738BF">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29. gr.</w:t>
            </w:r>
          </w:p>
          <w:p w:rsidR="008317D6" w:rsidRPr="00447F64" w:rsidRDefault="008317D6" w:rsidP="00E738BF">
            <w:pPr>
              <w:spacing w:before="100" w:beforeAutospacing="1" w:after="100" w:afterAutospacing="1" w:line="240" w:lineRule="auto"/>
              <w:jc w:val="center"/>
              <w:rPr>
                <w:rFonts w:ascii="Arial" w:eastAsia="Times New Roman" w:hAnsi="Arial" w:cs="Arial"/>
                <w:i/>
                <w:iCs/>
                <w:sz w:val="24"/>
                <w:szCs w:val="24"/>
                <w:lang w:eastAsia="is-IS"/>
              </w:rPr>
            </w:pPr>
            <w:r w:rsidRPr="00447F64">
              <w:rPr>
                <w:rFonts w:ascii="Arial" w:eastAsia="Times New Roman" w:hAnsi="Arial" w:cs="Arial"/>
                <w:i/>
                <w:iCs/>
                <w:sz w:val="24"/>
                <w:szCs w:val="24"/>
                <w:lang w:eastAsia="is-IS"/>
              </w:rPr>
              <w:t>Vænt tap (EL).</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Meta skal vænt tap (EL) vegna áhættuskuldbindinga í áhættuflokkum a. - e., 1. mgr. 27. gr. í samræmi við 29.-35. lið 1. hluta viðauka VII skv. 55. gr. A. Nota skal sömu breytur fyrir PD, LGD og virði áhættuskuldbindingar og notaðar eru til að meta áhættuvegnar áhættuskuldbindingafjárhæðir samkvæmt 28. gr. Vænt tap vegna vanskila skal meta samkvæmt 80. lið 4. hluta ofangreinds viðauka.</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Vænt tap af </w:t>
            </w:r>
            <w:proofErr w:type="spellStart"/>
            <w:r w:rsidRPr="00447F64">
              <w:rPr>
                <w:rFonts w:ascii="Arial" w:eastAsia="Times New Roman" w:hAnsi="Arial" w:cs="Arial"/>
                <w:sz w:val="24"/>
                <w:szCs w:val="24"/>
                <w:lang w:eastAsia="is-IS"/>
              </w:rPr>
              <w:t>verðbréfuðum</w:t>
            </w:r>
            <w:proofErr w:type="spellEnd"/>
            <w:r w:rsidRPr="00447F64">
              <w:rPr>
                <w:rFonts w:ascii="Arial" w:eastAsia="Times New Roman" w:hAnsi="Arial" w:cs="Arial"/>
                <w:sz w:val="24"/>
                <w:szCs w:val="24"/>
                <w:lang w:eastAsia="is-IS"/>
              </w:rPr>
              <w:t xml:space="preserve"> stöðum skal meta samkvæmt VIII. kafla.</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Vænt tap af áhættuskuldbindingum skv. g. lið. 1. mgr. 27. gr. skal vera 0.</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Meta skal vænt tap vegna þynningaráhættu fyrir keyptar viðskiptakröfur samkvæmt 35. lið 1. hluta viðauka VII skv. 55. gr. A.</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Meta skal vænt tap af sjóðum um sameiginlega fjárfestingu samkvæmt 29.-35. lið 1. hluta ofangreinds viðauka.</w:t>
            </w:r>
          </w:p>
          <w:p w:rsidR="008317D6" w:rsidRPr="00447F64" w:rsidRDefault="008317D6" w:rsidP="00E738BF">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30. gr.</w:t>
            </w:r>
          </w:p>
          <w:p w:rsidR="008317D6" w:rsidRPr="00447F64" w:rsidRDefault="008317D6" w:rsidP="00E738BF">
            <w:pPr>
              <w:spacing w:before="100" w:beforeAutospacing="1" w:after="100" w:afterAutospacing="1" w:line="240" w:lineRule="auto"/>
              <w:jc w:val="center"/>
              <w:rPr>
                <w:rFonts w:ascii="Arial" w:eastAsia="Times New Roman" w:hAnsi="Arial" w:cs="Arial"/>
                <w:i/>
                <w:iCs/>
                <w:sz w:val="24"/>
                <w:szCs w:val="24"/>
                <w:lang w:eastAsia="is-IS"/>
              </w:rPr>
            </w:pPr>
            <w:r w:rsidRPr="00447F64">
              <w:rPr>
                <w:rFonts w:ascii="Arial" w:eastAsia="Times New Roman" w:hAnsi="Arial" w:cs="Arial"/>
                <w:i/>
                <w:iCs/>
                <w:sz w:val="24"/>
                <w:szCs w:val="24"/>
                <w:lang w:eastAsia="is-IS"/>
              </w:rPr>
              <w:t>Undanþágur frá innramatsaðferð.</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Fjármálaeftirlitið getur veitt fjármálafyrirtækjum, sem hafa leyfi til að nota innra</w:t>
            </w:r>
            <w:r w:rsidRPr="00447F64">
              <w:rPr>
                <w:rFonts w:ascii="Arial" w:eastAsia="Times New Roman" w:hAnsi="Arial" w:cs="Arial"/>
                <w:sz w:val="24"/>
                <w:szCs w:val="24"/>
                <w:lang w:eastAsia="is-IS"/>
              </w:rPr>
              <w:softHyphen/>
              <w:t>mats</w:t>
            </w:r>
            <w:r w:rsidRPr="00447F64">
              <w:rPr>
                <w:rFonts w:ascii="Arial" w:eastAsia="Times New Roman" w:hAnsi="Arial" w:cs="Arial"/>
                <w:sz w:val="24"/>
                <w:szCs w:val="24"/>
                <w:lang w:eastAsia="is-IS"/>
              </w:rPr>
              <w:softHyphen/>
              <w:t>aðferð, heimild til að nota staðalaðferð fyrir eftirfarandi áhættuskuldbindingar:</w:t>
            </w:r>
          </w:p>
          <w:p w:rsidR="008317D6" w:rsidRPr="00447F64" w:rsidRDefault="008317D6" w:rsidP="00447F64">
            <w:pPr>
              <w:numPr>
                <w:ilvl w:val="0"/>
                <w:numId w:val="24"/>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Áhættuskuldbindingar skv. a. og b. lið 1. mgr. 27. gr. ef mótaðilar eru það fáir að það verði fjármálafyrirtækinu óþarflega íþyngjandi að koma á fót matskerfi fyrir þessa aðila, </w:t>
            </w:r>
          </w:p>
          <w:p w:rsidR="008317D6" w:rsidRPr="00447F64" w:rsidRDefault="008317D6" w:rsidP="00447F64">
            <w:pPr>
              <w:numPr>
                <w:ilvl w:val="0"/>
                <w:numId w:val="24"/>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áhættukröfur á viðskiptaeiningar innan samstæðu sem hafa óverulegt vægi auk áhættuflokka sem hafa tiltölulega lítið vægi hvað varðar stærð og áhættu, </w:t>
            </w:r>
          </w:p>
          <w:p w:rsidR="008317D6" w:rsidRPr="00447F64" w:rsidRDefault="008317D6" w:rsidP="00447F64">
            <w:pPr>
              <w:numPr>
                <w:ilvl w:val="0"/>
                <w:numId w:val="24"/>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áhættukröfur á íslenska ríkið, </w:t>
            </w:r>
          </w:p>
          <w:p w:rsidR="008317D6" w:rsidRPr="00447F64" w:rsidRDefault="008317D6" w:rsidP="00447F64">
            <w:pPr>
              <w:numPr>
                <w:ilvl w:val="0"/>
                <w:numId w:val="24"/>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áhættukröfur á móðurfélag eða dótturfélag viðkomandi fjármálafyrirtækis, </w:t>
            </w:r>
          </w:p>
          <w:p w:rsidR="008317D6" w:rsidRPr="00447F64" w:rsidRDefault="008317D6" w:rsidP="00447F64">
            <w:pPr>
              <w:numPr>
                <w:ilvl w:val="0"/>
                <w:numId w:val="24"/>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hlutabréf í þeim félögum hvers áhættuskuldbindingar hafa áhættuvog 0% </w:t>
            </w:r>
            <w:r w:rsidRPr="00447F64">
              <w:rPr>
                <w:rFonts w:ascii="Arial" w:eastAsia="Times New Roman" w:hAnsi="Arial" w:cs="Arial"/>
                <w:sz w:val="24"/>
                <w:szCs w:val="24"/>
                <w:lang w:eastAsia="is-IS"/>
              </w:rPr>
              <w:lastRenderedPageBreak/>
              <w:t xml:space="preserve">samkvæmt staðalaðferð. Áhættuflokkur hlutabréfa skal talinn verulegur ef heildarvirði þeirra er meira en 10% af eiginfjárgrunni að meðaltali næstliðið ár. Ef um er að ræða hlutabréf í færri en 10 félögum skal miða við 5% af eigin fé, </w:t>
            </w:r>
          </w:p>
          <w:p w:rsidR="008317D6" w:rsidRPr="00447F64" w:rsidRDefault="008317D6" w:rsidP="00447F64">
            <w:pPr>
              <w:numPr>
                <w:ilvl w:val="0"/>
                <w:numId w:val="24"/>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áhættuskuldbindingar sem eru bundnar innistæður í seðlabönkum samkvæmt reglum þar að lútandi, </w:t>
            </w:r>
          </w:p>
          <w:p w:rsidR="008317D6" w:rsidRPr="00447F64" w:rsidRDefault="008317D6" w:rsidP="00447F64">
            <w:pPr>
              <w:numPr>
                <w:ilvl w:val="0"/>
                <w:numId w:val="24"/>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ríkisábyrgðir í samræmi við 19. lið 2. hluta viðauka VIII skv. 55. gr. A.</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Þrátt fyrir ákvæði 1. mgr. skal Fjármálaeftirlitið leyfa notkun staðalaðferðar fyrir hlutabréfaeign hafi það verið leyft af öðrum eftirlitsaðilum innan EES. </w:t>
            </w:r>
          </w:p>
          <w:p w:rsidR="008317D6" w:rsidRPr="00447F64" w:rsidRDefault="008317D6" w:rsidP="00E738BF">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VII. KAFLI</w:t>
            </w:r>
          </w:p>
          <w:p w:rsidR="008317D6" w:rsidRPr="00447F64" w:rsidRDefault="008317D6" w:rsidP="00E738BF">
            <w:pPr>
              <w:spacing w:before="100" w:beforeAutospacing="1" w:after="100" w:afterAutospacing="1" w:line="240" w:lineRule="auto"/>
              <w:jc w:val="center"/>
              <w:rPr>
                <w:rFonts w:ascii="Arial" w:eastAsia="Times New Roman" w:hAnsi="Arial" w:cs="Arial"/>
                <w:b/>
                <w:bCs/>
                <w:sz w:val="24"/>
                <w:szCs w:val="24"/>
                <w:lang w:eastAsia="is-IS"/>
              </w:rPr>
            </w:pPr>
            <w:r w:rsidRPr="00447F64">
              <w:rPr>
                <w:rFonts w:ascii="Arial" w:eastAsia="Times New Roman" w:hAnsi="Arial" w:cs="Arial"/>
                <w:b/>
                <w:bCs/>
                <w:sz w:val="24"/>
                <w:szCs w:val="24"/>
                <w:lang w:eastAsia="is-IS"/>
              </w:rPr>
              <w:t>Mildun útlánaáhættu.</w:t>
            </w:r>
          </w:p>
          <w:p w:rsidR="008317D6" w:rsidRPr="00447F64" w:rsidRDefault="008317D6" w:rsidP="00E738BF">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31. gr.</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Í þessum kafla merkir orðið lánastofnun </w:t>
            </w:r>
            <w:r w:rsidRPr="00447F64">
              <w:rPr>
                <w:rFonts w:ascii="Arial" w:eastAsia="Times New Roman" w:hAnsi="Arial" w:cs="Arial"/>
                <w:i/>
                <w:iCs/>
                <w:sz w:val="24"/>
                <w:szCs w:val="24"/>
                <w:lang w:eastAsia="is-IS"/>
              </w:rPr>
              <w:t xml:space="preserve">(e. lending </w:t>
            </w:r>
            <w:proofErr w:type="spellStart"/>
            <w:r w:rsidRPr="00447F64">
              <w:rPr>
                <w:rFonts w:ascii="Arial" w:eastAsia="Times New Roman" w:hAnsi="Arial" w:cs="Arial"/>
                <w:i/>
                <w:iCs/>
                <w:sz w:val="24"/>
                <w:szCs w:val="24"/>
                <w:lang w:eastAsia="is-IS"/>
              </w:rPr>
              <w:t>credit</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institution</w:t>
            </w:r>
            <w:proofErr w:type="spellEnd"/>
            <w:r w:rsidRPr="00447F64">
              <w:rPr>
                <w:rFonts w:ascii="Arial" w:eastAsia="Times New Roman" w:hAnsi="Arial" w:cs="Arial"/>
                <w:i/>
                <w:iCs/>
                <w:sz w:val="24"/>
                <w:szCs w:val="24"/>
                <w:lang w:eastAsia="is-IS"/>
              </w:rPr>
              <w:t>)</w:t>
            </w:r>
            <w:r w:rsidRPr="00447F64">
              <w:rPr>
                <w:rFonts w:ascii="Arial" w:eastAsia="Times New Roman" w:hAnsi="Arial" w:cs="Arial"/>
                <w:sz w:val="24"/>
                <w:szCs w:val="24"/>
                <w:lang w:eastAsia="is-IS"/>
              </w:rPr>
              <w:t xml:space="preserve"> fjármálafyrirtæki sem á kröfuna hvort sem rekja má hana til útlána eða ekki.</w:t>
            </w:r>
          </w:p>
          <w:p w:rsidR="008317D6" w:rsidRPr="00447F64" w:rsidRDefault="008317D6" w:rsidP="00E738BF">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32. gr.</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Fjármálafyrirtæki sem nota annaðhvort staðalaðferðina eða innri matsaðferðina án þess að nota eigin matsaðferðir á tapi að gefnum vanefndum (LGD) og breytistuðlum samkvæmt 28. og 29. grein, mega nýta sér reglur um mildun útlánaáhættu samkvæmt þessum kafla, í útreikningi á áhættuvegnum áhættuskuldbindingafjárhæðum samkvæmt 4. grein eða væntu tapi samkvæmt innramatsaðferð.</w:t>
            </w:r>
          </w:p>
          <w:p w:rsidR="008317D6" w:rsidRPr="00447F64" w:rsidRDefault="008317D6" w:rsidP="00E738BF">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33. gr.</w:t>
            </w:r>
          </w:p>
          <w:p w:rsidR="008317D6" w:rsidRPr="00447F64" w:rsidRDefault="008317D6" w:rsidP="00E738BF">
            <w:pPr>
              <w:spacing w:before="100" w:beforeAutospacing="1" w:after="100" w:afterAutospacing="1" w:line="240" w:lineRule="auto"/>
              <w:jc w:val="center"/>
              <w:rPr>
                <w:rFonts w:ascii="Arial" w:eastAsia="Times New Roman" w:hAnsi="Arial" w:cs="Arial"/>
                <w:i/>
                <w:iCs/>
                <w:sz w:val="24"/>
                <w:szCs w:val="24"/>
                <w:lang w:eastAsia="is-IS"/>
              </w:rPr>
            </w:pPr>
            <w:r w:rsidRPr="00447F64">
              <w:rPr>
                <w:rFonts w:ascii="Arial" w:eastAsia="Times New Roman" w:hAnsi="Arial" w:cs="Arial"/>
                <w:i/>
                <w:iCs/>
                <w:sz w:val="24"/>
                <w:szCs w:val="24"/>
                <w:lang w:eastAsia="is-IS"/>
              </w:rPr>
              <w:t>Fjármögnuð og ófjármögnuð útlánavörn.</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Aðferðin sem notuð er til útlánavarnar skal vera í samræmi við lög í viðkomandi ríki.</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Lánastofnun skal gera viðeigandi ráðstafanir til þess að tryggja árangur og áreiðanleika útlánavarna og til að takast á við tengda áhættu.</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Þegar um fjármagnaða útlánavörn er að ræða skulu eignir sem eru til tryggingar vera nægjanlega seljanlegar og virði þeirra stöðugt til að tryggja rétt mat á vörninni við útreikning á áhættuvegnum áhættuskuldbindingum. Hæfi </w:t>
            </w:r>
            <w:r w:rsidRPr="00447F64">
              <w:rPr>
                <w:rFonts w:ascii="Arial" w:eastAsia="Times New Roman" w:hAnsi="Arial" w:cs="Arial"/>
                <w:i/>
                <w:iCs/>
                <w:sz w:val="24"/>
                <w:szCs w:val="24"/>
                <w:lang w:eastAsia="is-IS"/>
              </w:rPr>
              <w:t xml:space="preserve">(e. </w:t>
            </w:r>
            <w:proofErr w:type="spellStart"/>
            <w:r w:rsidRPr="00447F64">
              <w:rPr>
                <w:rFonts w:ascii="Arial" w:eastAsia="Times New Roman" w:hAnsi="Arial" w:cs="Arial"/>
                <w:i/>
                <w:iCs/>
                <w:sz w:val="24"/>
                <w:szCs w:val="24"/>
                <w:lang w:eastAsia="is-IS"/>
              </w:rPr>
              <w:t>eligibility</w:t>
            </w:r>
            <w:proofErr w:type="spellEnd"/>
            <w:r w:rsidRPr="00447F64">
              <w:rPr>
                <w:rFonts w:ascii="Arial" w:eastAsia="Times New Roman" w:hAnsi="Arial" w:cs="Arial"/>
                <w:i/>
                <w:iCs/>
                <w:sz w:val="24"/>
                <w:szCs w:val="24"/>
                <w:lang w:eastAsia="is-IS"/>
              </w:rPr>
              <w:t>)</w:t>
            </w:r>
            <w:r w:rsidRPr="00447F64">
              <w:rPr>
                <w:rFonts w:ascii="Arial" w:eastAsia="Times New Roman" w:hAnsi="Arial" w:cs="Arial"/>
                <w:sz w:val="24"/>
                <w:szCs w:val="24"/>
                <w:lang w:eastAsia="is-IS"/>
              </w:rPr>
              <w:t xml:space="preserve"> til mildunar útlánaáhættu skal takmarkast við eignir sem skilgreindar eru í 1. hluta viðauka VIII skv. 55. gr. A. Lánastofnun hefur rétt til þess að selja eða halda eftir eignum sem eru til tryggingar vegna útlánavarnar ef til vanskila eða gjaldþrots kemur af hálfu </w:t>
            </w:r>
            <w:proofErr w:type="spellStart"/>
            <w:r w:rsidRPr="00447F64">
              <w:rPr>
                <w:rFonts w:ascii="Arial" w:eastAsia="Times New Roman" w:hAnsi="Arial" w:cs="Arial"/>
                <w:sz w:val="24"/>
                <w:szCs w:val="24"/>
                <w:lang w:eastAsia="is-IS"/>
              </w:rPr>
              <w:t>skuldunauts</w:t>
            </w:r>
            <w:proofErr w:type="spellEnd"/>
            <w:r w:rsidRPr="00447F64">
              <w:rPr>
                <w:rFonts w:ascii="Arial" w:eastAsia="Times New Roman" w:hAnsi="Arial" w:cs="Arial"/>
                <w:sz w:val="24"/>
                <w:szCs w:val="24"/>
                <w:lang w:eastAsia="is-IS"/>
              </w:rPr>
              <w:t xml:space="preserve"> eða að hálfu forráðaaðila eignarinnar. </w:t>
            </w:r>
            <w:r w:rsidRPr="00447F64">
              <w:rPr>
                <w:rFonts w:ascii="Arial" w:eastAsia="Times New Roman" w:hAnsi="Arial" w:cs="Arial"/>
                <w:sz w:val="24"/>
                <w:szCs w:val="24"/>
                <w:lang w:eastAsia="is-IS"/>
              </w:rPr>
              <w:lastRenderedPageBreak/>
              <w:t xml:space="preserve">Gæta þarf að hversu mikil fylgni er milli virðis eignarinnar sem notuð er til varnar og </w:t>
            </w:r>
            <w:r w:rsidR="00B576B9" w:rsidRPr="00447F64">
              <w:rPr>
                <w:rFonts w:ascii="Arial" w:eastAsia="Times New Roman" w:hAnsi="Arial" w:cs="Arial"/>
                <w:sz w:val="24"/>
                <w:szCs w:val="24"/>
                <w:lang w:eastAsia="is-IS"/>
              </w:rPr>
              <w:t>[</w:t>
            </w:r>
            <w:r w:rsidRPr="00447F64">
              <w:rPr>
                <w:rFonts w:ascii="Arial" w:eastAsia="Times New Roman" w:hAnsi="Arial" w:cs="Arial"/>
                <w:sz w:val="24"/>
                <w:szCs w:val="24"/>
                <w:lang w:eastAsia="is-IS"/>
              </w:rPr>
              <w:t>lánshæfis</w:t>
            </w:r>
            <w:r w:rsidR="00B576B9" w:rsidRPr="00447F64">
              <w:rPr>
                <w:rFonts w:ascii="Arial" w:eastAsia="Times New Roman" w:hAnsi="Arial" w:cs="Arial"/>
                <w:sz w:val="24"/>
                <w:szCs w:val="24"/>
                <w:lang w:eastAsia="is-IS"/>
              </w:rPr>
              <w:t>]</w:t>
            </w:r>
            <w:r w:rsidR="00B576B9" w:rsidRPr="00447F64">
              <w:rPr>
                <w:rStyle w:val="FootnoteReference"/>
                <w:rFonts w:ascii="Arial" w:eastAsia="Times New Roman" w:hAnsi="Arial" w:cs="Arial"/>
                <w:sz w:val="24"/>
                <w:szCs w:val="24"/>
                <w:lang w:eastAsia="is-IS"/>
              </w:rPr>
              <w:footnoteReference w:id="27"/>
            </w:r>
            <w:r w:rsidRPr="00447F64">
              <w:rPr>
                <w:rFonts w:ascii="Arial" w:eastAsia="Times New Roman" w:hAnsi="Arial" w:cs="Arial"/>
                <w:sz w:val="24"/>
                <w:szCs w:val="24"/>
                <w:lang w:eastAsia="is-IS"/>
              </w:rPr>
              <w:t xml:space="preserve"> skuldunautarins.</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Þegar um ófjármagnaða útlánavörn er að ræða skulu þeir aðilar sem veita vörnina vera áreiðanlegir og samningar í samræmi við lög í viðkomandi ríki til að tryggja rétt mat á vörninni við útreikning á áhættuvegnum áhættuskuldbindingum. Eingöngu þeir aðilar sem veita útlánavörn og þær tegundir samninga sem skilgreindar eru í 1. hluta viðauka VIII skv. 55. gr. A eru hæf til mildunar útlánaáhættu.</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Einnig skal fara eftir þeim lágmarksskilyrðum sem tilgreind eru í 2. hluta ofangreinds viðauka.</w:t>
            </w:r>
          </w:p>
          <w:p w:rsidR="008317D6" w:rsidRPr="00447F64" w:rsidRDefault="008317D6" w:rsidP="00E738BF">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34. gr.</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Séu skilyrði 33. gr. uppfyllt má reikna áhættuvegnar áhættuskuldbindingar og, eftir því sem við á, vænt tap í samræmi við 3. til 6. hluta viðauka VIII skv. 55. gr. A. </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Áhættuskuldbindingafjárhæð sem reiknuð er með tilliti til mildunar útlánaáhættu skal ekki vera hærri en fjárhæð áhættuveginnar áhættuskuldbindingar eða vænts taps sömu áhættuskuldbindingar þar sem mildun útlánaáhættu er ekki notuð.</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Hafi þegar verið tekið tillit til útlánavarna við útreikning áhættuveginna áhættu</w:t>
            </w:r>
            <w:r w:rsidRPr="00447F64">
              <w:rPr>
                <w:rFonts w:ascii="Arial" w:eastAsia="Times New Roman" w:hAnsi="Arial" w:cs="Arial"/>
                <w:sz w:val="24"/>
                <w:szCs w:val="24"/>
                <w:lang w:eastAsia="is-IS"/>
              </w:rPr>
              <w:softHyphen/>
              <w:t>skuldbindinga samkvæmt staðalaðferð eða innramatsaðferð skal ekki fara eftir greinum þessa kafla um útreikning á útlánavörn.</w:t>
            </w:r>
          </w:p>
          <w:p w:rsidR="008317D6" w:rsidRPr="00447F64" w:rsidRDefault="008317D6" w:rsidP="00E738BF">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VIII. KAFLI</w:t>
            </w:r>
          </w:p>
          <w:p w:rsidR="008317D6" w:rsidRPr="00447F64" w:rsidRDefault="008317D6" w:rsidP="00E738BF">
            <w:pPr>
              <w:spacing w:before="100" w:beforeAutospacing="1" w:after="100" w:afterAutospacing="1" w:line="240" w:lineRule="auto"/>
              <w:jc w:val="center"/>
              <w:rPr>
                <w:rFonts w:ascii="Arial" w:eastAsia="Times New Roman" w:hAnsi="Arial" w:cs="Arial"/>
                <w:b/>
                <w:bCs/>
                <w:sz w:val="24"/>
                <w:szCs w:val="24"/>
                <w:lang w:eastAsia="is-IS"/>
              </w:rPr>
            </w:pPr>
            <w:proofErr w:type="spellStart"/>
            <w:r w:rsidRPr="00447F64">
              <w:rPr>
                <w:rFonts w:ascii="Arial" w:eastAsia="Times New Roman" w:hAnsi="Arial" w:cs="Arial"/>
                <w:b/>
                <w:bCs/>
                <w:sz w:val="24"/>
                <w:szCs w:val="24"/>
                <w:lang w:eastAsia="is-IS"/>
              </w:rPr>
              <w:t>Verðbréfun</w:t>
            </w:r>
            <w:proofErr w:type="spellEnd"/>
            <w:r w:rsidRPr="00447F64">
              <w:rPr>
                <w:rFonts w:ascii="Arial" w:eastAsia="Times New Roman" w:hAnsi="Arial" w:cs="Arial"/>
                <w:b/>
                <w:bCs/>
                <w:sz w:val="24"/>
                <w:szCs w:val="24"/>
                <w:lang w:eastAsia="is-IS"/>
              </w:rPr>
              <w:t>.</w:t>
            </w:r>
          </w:p>
          <w:p w:rsidR="008317D6" w:rsidRPr="00447F64" w:rsidRDefault="008317D6" w:rsidP="00E738BF">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35. gr.</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Reikna skal áhættuvegnar áhættuskuldbindingafjárhæðir í </w:t>
            </w:r>
            <w:proofErr w:type="spellStart"/>
            <w:r w:rsidRPr="00447F64">
              <w:rPr>
                <w:rFonts w:ascii="Arial" w:eastAsia="Times New Roman" w:hAnsi="Arial" w:cs="Arial"/>
                <w:sz w:val="24"/>
                <w:szCs w:val="24"/>
                <w:lang w:eastAsia="is-IS"/>
              </w:rPr>
              <w:t>verðbréfuðum</w:t>
            </w:r>
            <w:proofErr w:type="spellEnd"/>
            <w:r w:rsidRPr="00447F64">
              <w:rPr>
                <w:rFonts w:ascii="Arial" w:eastAsia="Times New Roman" w:hAnsi="Arial" w:cs="Arial"/>
                <w:sz w:val="24"/>
                <w:szCs w:val="24"/>
                <w:lang w:eastAsia="is-IS"/>
              </w:rPr>
              <w:t xml:space="preserve"> stöðum í samræmi við 1.-5. lið og 37.-76. lið, 4. hluta, viðauka IX skv. 55. gr. A. Þó skulu þau fjármálafyrirtæki sem nota staðalaðferðina flokka </w:t>
            </w:r>
            <w:proofErr w:type="spellStart"/>
            <w:r w:rsidRPr="00447F64">
              <w:rPr>
                <w:rFonts w:ascii="Arial" w:eastAsia="Times New Roman" w:hAnsi="Arial" w:cs="Arial"/>
                <w:sz w:val="24"/>
                <w:szCs w:val="24"/>
                <w:lang w:eastAsia="is-IS"/>
              </w:rPr>
              <w:t>verðbréfaðar</w:t>
            </w:r>
            <w:proofErr w:type="spellEnd"/>
            <w:r w:rsidRPr="00447F64">
              <w:rPr>
                <w:rFonts w:ascii="Arial" w:eastAsia="Times New Roman" w:hAnsi="Arial" w:cs="Arial"/>
                <w:sz w:val="24"/>
                <w:szCs w:val="24"/>
                <w:lang w:eastAsia="is-IS"/>
              </w:rPr>
              <w:t xml:space="preserve"> stöður í áhættuflokka samkvæmt 10. gr. og reikna áhættuvegnar áhættuskuldbindingafjárhæðir í </w:t>
            </w:r>
            <w:proofErr w:type="spellStart"/>
            <w:r w:rsidRPr="00447F64">
              <w:rPr>
                <w:rFonts w:ascii="Arial" w:eastAsia="Times New Roman" w:hAnsi="Arial" w:cs="Arial"/>
                <w:sz w:val="24"/>
                <w:szCs w:val="24"/>
                <w:lang w:eastAsia="is-IS"/>
              </w:rPr>
              <w:t>verðbréfuðum</w:t>
            </w:r>
            <w:proofErr w:type="spellEnd"/>
            <w:r w:rsidRPr="00447F64">
              <w:rPr>
                <w:rFonts w:ascii="Arial" w:eastAsia="Times New Roman" w:hAnsi="Arial" w:cs="Arial"/>
                <w:sz w:val="24"/>
                <w:szCs w:val="24"/>
                <w:lang w:eastAsia="is-IS"/>
              </w:rPr>
              <w:t xml:space="preserve"> stöðum í samræmi við 1.-36. lið, 4. hluta ofangreinds viðauka.</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Þegar veruleg útlánaáhætta tengd </w:t>
            </w:r>
            <w:proofErr w:type="spellStart"/>
            <w:r w:rsidRPr="00447F64">
              <w:rPr>
                <w:rFonts w:ascii="Arial" w:eastAsia="Times New Roman" w:hAnsi="Arial" w:cs="Arial"/>
                <w:sz w:val="24"/>
                <w:szCs w:val="24"/>
                <w:lang w:eastAsia="is-IS"/>
              </w:rPr>
              <w:t>verðbréfuðum</w:t>
            </w:r>
            <w:proofErr w:type="spellEnd"/>
            <w:r w:rsidRPr="00447F64">
              <w:rPr>
                <w:rFonts w:ascii="Arial" w:eastAsia="Times New Roman" w:hAnsi="Arial" w:cs="Arial"/>
                <w:sz w:val="24"/>
                <w:szCs w:val="24"/>
                <w:lang w:eastAsia="is-IS"/>
              </w:rPr>
              <w:t xml:space="preserve"> stöðum hefur verið flutt frá upphaflega fjármálafyrirtækinu til þriðja aðila í samræmi við 2. hluta viðauka IX skv. 55. gr. A, má fjármálafyrirtækið:</w:t>
            </w:r>
          </w:p>
          <w:p w:rsidR="008317D6" w:rsidRPr="00447F64" w:rsidRDefault="008317D6" w:rsidP="00447F64">
            <w:pPr>
              <w:numPr>
                <w:ilvl w:val="0"/>
                <w:numId w:val="25"/>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Þegar um hefðbundna </w:t>
            </w:r>
            <w:proofErr w:type="spellStart"/>
            <w:r w:rsidRPr="00447F64">
              <w:rPr>
                <w:rFonts w:ascii="Arial" w:eastAsia="Times New Roman" w:hAnsi="Arial" w:cs="Arial"/>
                <w:sz w:val="24"/>
                <w:szCs w:val="24"/>
                <w:lang w:eastAsia="is-IS"/>
              </w:rPr>
              <w:t>verðbréfun</w:t>
            </w:r>
            <w:proofErr w:type="spellEnd"/>
            <w:r w:rsidRPr="00447F64">
              <w:rPr>
                <w:rFonts w:ascii="Arial" w:eastAsia="Times New Roman" w:hAnsi="Arial" w:cs="Arial"/>
                <w:sz w:val="24"/>
                <w:szCs w:val="24"/>
                <w:lang w:eastAsia="is-IS"/>
              </w:rPr>
              <w:t xml:space="preserve"> er að ræða, undanskilja frá mati á áhættu</w:t>
            </w:r>
            <w:r w:rsidRPr="00447F64">
              <w:rPr>
                <w:rFonts w:ascii="Arial" w:eastAsia="Times New Roman" w:hAnsi="Arial" w:cs="Arial"/>
                <w:sz w:val="24"/>
                <w:szCs w:val="24"/>
                <w:lang w:eastAsia="is-IS"/>
              </w:rPr>
              <w:softHyphen/>
              <w:t>vegnum áhættuskuldbindingum og, eftir því sem við á, væntu tapi, þær áhættu</w:t>
            </w:r>
            <w:r w:rsidRPr="00447F64">
              <w:rPr>
                <w:rFonts w:ascii="Arial" w:eastAsia="Times New Roman" w:hAnsi="Arial" w:cs="Arial"/>
                <w:sz w:val="24"/>
                <w:szCs w:val="24"/>
                <w:lang w:eastAsia="is-IS"/>
              </w:rPr>
              <w:softHyphen/>
              <w:t xml:space="preserve">skuldbindingar sem hafa verið </w:t>
            </w:r>
            <w:proofErr w:type="spellStart"/>
            <w:r w:rsidRPr="00447F64">
              <w:rPr>
                <w:rFonts w:ascii="Arial" w:eastAsia="Times New Roman" w:hAnsi="Arial" w:cs="Arial"/>
                <w:sz w:val="24"/>
                <w:szCs w:val="24"/>
                <w:lang w:eastAsia="is-IS"/>
              </w:rPr>
              <w:t>verðbréfaðar</w:t>
            </w:r>
            <w:proofErr w:type="spellEnd"/>
            <w:r w:rsidRPr="00447F64">
              <w:rPr>
                <w:rFonts w:ascii="Arial" w:eastAsia="Times New Roman" w:hAnsi="Arial" w:cs="Arial"/>
                <w:sz w:val="24"/>
                <w:szCs w:val="24"/>
                <w:lang w:eastAsia="is-IS"/>
              </w:rPr>
              <w:t xml:space="preserve">/færðar í </w:t>
            </w:r>
            <w:proofErr w:type="spellStart"/>
            <w:r w:rsidRPr="00447F64">
              <w:rPr>
                <w:rFonts w:ascii="Arial" w:eastAsia="Times New Roman" w:hAnsi="Arial" w:cs="Arial"/>
                <w:sz w:val="24"/>
                <w:szCs w:val="24"/>
                <w:lang w:eastAsia="is-IS"/>
              </w:rPr>
              <w:t>verðbréfun</w:t>
            </w:r>
            <w:proofErr w:type="spellEnd"/>
            <w:r w:rsidRPr="00447F64">
              <w:rPr>
                <w:rFonts w:ascii="Arial" w:eastAsia="Times New Roman" w:hAnsi="Arial" w:cs="Arial"/>
                <w:sz w:val="24"/>
                <w:szCs w:val="24"/>
                <w:lang w:eastAsia="is-IS"/>
              </w:rPr>
              <w:t xml:space="preserve"> </w:t>
            </w:r>
            <w:r w:rsidRPr="00447F64">
              <w:rPr>
                <w:rFonts w:ascii="Arial" w:eastAsia="Times New Roman" w:hAnsi="Arial" w:cs="Arial"/>
                <w:i/>
                <w:iCs/>
                <w:sz w:val="24"/>
                <w:szCs w:val="24"/>
                <w:lang w:eastAsia="is-IS"/>
              </w:rPr>
              <w:t xml:space="preserve">(e. </w:t>
            </w:r>
            <w:proofErr w:type="spellStart"/>
            <w:r w:rsidRPr="00447F64">
              <w:rPr>
                <w:rFonts w:ascii="Arial" w:eastAsia="Times New Roman" w:hAnsi="Arial" w:cs="Arial"/>
                <w:i/>
                <w:iCs/>
                <w:sz w:val="24"/>
                <w:szCs w:val="24"/>
                <w:lang w:eastAsia="is-IS"/>
              </w:rPr>
              <w:t>securitised</w:t>
            </w:r>
            <w:proofErr w:type="spellEnd"/>
            <w:r w:rsidRPr="00447F64">
              <w:rPr>
                <w:rFonts w:ascii="Arial" w:eastAsia="Times New Roman" w:hAnsi="Arial" w:cs="Arial"/>
                <w:i/>
                <w:iCs/>
                <w:sz w:val="24"/>
                <w:szCs w:val="24"/>
                <w:lang w:eastAsia="is-IS"/>
              </w:rPr>
              <w:t>)</w:t>
            </w:r>
            <w:r w:rsidRPr="00447F64">
              <w:rPr>
                <w:rFonts w:ascii="Arial" w:eastAsia="Times New Roman" w:hAnsi="Arial" w:cs="Arial"/>
                <w:sz w:val="24"/>
                <w:szCs w:val="24"/>
                <w:lang w:eastAsia="is-IS"/>
              </w:rPr>
              <w:t xml:space="preserve">, </w:t>
            </w:r>
          </w:p>
          <w:p w:rsidR="008317D6" w:rsidRPr="00447F64" w:rsidRDefault="008317D6" w:rsidP="00447F64">
            <w:pPr>
              <w:numPr>
                <w:ilvl w:val="0"/>
                <w:numId w:val="25"/>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lastRenderedPageBreak/>
              <w:t xml:space="preserve">þegar um tilbúna/gervi- </w:t>
            </w:r>
            <w:r w:rsidRPr="00447F64">
              <w:rPr>
                <w:rFonts w:ascii="Arial" w:eastAsia="Times New Roman" w:hAnsi="Arial" w:cs="Arial"/>
                <w:i/>
                <w:iCs/>
                <w:sz w:val="24"/>
                <w:szCs w:val="24"/>
                <w:lang w:eastAsia="is-IS"/>
              </w:rPr>
              <w:t xml:space="preserve">(e. </w:t>
            </w:r>
            <w:proofErr w:type="spellStart"/>
            <w:r w:rsidRPr="00447F64">
              <w:rPr>
                <w:rFonts w:ascii="Arial" w:eastAsia="Times New Roman" w:hAnsi="Arial" w:cs="Arial"/>
                <w:i/>
                <w:iCs/>
                <w:sz w:val="24"/>
                <w:szCs w:val="24"/>
                <w:lang w:eastAsia="is-IS"/>
              </w:rPr>
              <w:t>synthetic</w:t>
            </w:r>
            <w:proofErr w:type="spellEnd"/>
            <w:r w:rsidRPr="00447F64">
              <w:rPr>
                <w:rFonts w:ascii="Arial" w:eastAsia="Times New Roman" w:hAnsi="Arial" w:cs="Arial"/>
                <w:i/>
                <w:iCs/>
                <w:sz w:val="24"/>
                <w:szCs w:val="24"/>
                <w:lang w:eastAsia="is-IS"/>
              </w:rPr>
              <w:t>)</w:t>
            </w:r>
            <w:r w:rsidRPr="00447F64">
              <w:rPr>
                <w:rFonts w:ascii="Arial" w:eastAsia="Times New Roman" w:hAnsi="Arial" w:cs="Arial"/>
                <w:sz w:val="24"/>
                <w:szCs w:val="24"/>
                <w:lang w:eastAsia="is-IS"/>
              </w:rPr>
              <w:t xml:space="preserve"> </w:t>
            </w:r>
            <w:proofErr w:type="spellStart"/>
            <w:r w:rsidRPr="00447F64">
              <w:rPr>
                <w:rFonts w:ascii="Arial" w:eastAsia="Times New Roman" w:hAnsi="Arial" w:cs="Arial"/>
                <w:sz w:val="24"/>
                <w:szCs w:val="24"/>
                <w:lang w:eastAsia="is-IS"/>
              </w:rPr>
              <w:t>verðbréfun</w:t>
            </w:r>
            <w:proofErr w:type="spellEnd"/>
            <w:r w:rsidRPr="00447F64">
              <w:rPr>
                <w:rFonts w:ascii="Arial" w:eastAsia="Times New Roman" w:hAnsi="Arial" w:cs="Arial"/>
                <w:sz w:val="24"/>
                <w:szCs w:val="24"/>
                <w:lang w:eastAsia="is-IS"/>
              </w:rPr>
              <w:t xml:space="preserve"> er að ræða, reikna áhættu</w:t>
            </w:r>
            <w:r w:rsidRPr="00447F64">
              <w:rPr>
                <w:rFonts w:ascii="Arial" w:eastAsia="Times New Roman" w:hAnsi="Arial" w:cs="Arial"/>
                <w:sz w:val="24"/>
                <w:szCs w:val="24"/>
                <w:lang w:eastAsia="is-IS"/>
              </w:rPr>
              <w:softHyphen/>
              <w:t xml:space="preserve">vegnar áhættuskuldbindingar og, eftir því sem við á, vænt tap </w:t>
            </w:r>
            <w:proofErr w:type="spellStart"/>
            <w:r w:rsidRPr="00447F64">
              <w:rPr>
                <w:rFonts w:ascii="Arial" w:eastAsia="Times New Roman" w:hAnsi="Arial" w:cs="Arial"/>
                <w:sz w:val="24"/>
                <w:szCs w:val="24"/>
                <w:lang w:eastAsia="is-IS"/>
              </w:rPr>
              <w:t>verð</w:t>
            </w:r>
            <w:r w:rsidRPr="00447F64">
              <w:rPr>
                <w:rFonts w:ascii="Arial" w:eastAsia="Times New Roman" w:hAnsi="Arial" w:cs="Arial"/>
                <w:sz w:val="24"/>
                <w:szCs w:val="24"/>
                <w:lang w:eastAsia="is-IS"/>
              </w:rPr>
              <w:softHyphen/>
              <w:t>bréfaðra</w:t>
            </w:r>
            <w:proofErr w:type="spellEnd"/>
            <w:r w:rsidRPr="00447F64">
              <w:rPr>
                <w:rFonts w:ascii="Arial" w:eastAsia="Times New Roman" w:hAnsi="Arial" w:cs="Arial"/>
                <w:sz w:val="24"/>
                <w:szCs w:val="24"/>
                <w:lang w:eastAsia="is-IS"/>
              </w:rPr>
              <w:t xml:space="preserve"> staða í samræmi við 2. hluta ofangreinds viðauka.</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Upphaflega fjármálafyrirtækinu ber að meta áhættuvegnar áhættuskuldbindingar í </w:t>
            </w:r>
            <w:proofErr w:type="spellStart"/>
            <w:r w:rsidRPr="00447F64">
              <w:rPr>
                <w:rFonts w:ascii="Arial" w:eastAsia="Times New Roman" w:hAnsi="Arial" w:cs="Arial"/>
                <w:sz w:val="24"/>
                <w:szCs w:val="24"/>
                <w:lang w:eastAsia="is-IS"/>
              </w:rPr>
              <w:t>verð</w:t>
            </w:r>
            <w:r w:rsidRPr="00447F64">
              <w:rPr>
                <w:rFonts w:ascii="Arial" w:eastAsia="Times New Roman" w:hAnsi="Arial" w:cs="Arial"/>
                <w:sz w:val="24"/>
                <w:szCs w:val="24"/>
                <w:lang w:eastAsia="is-IS"/>
              </w:rPr>
              <w:softHyphen/>
              <w:t>bréfuðum</w:t>
            </w:r>
            <w:proofErr w:type="spellEnd"/>
            <w:r w:rsidRPr="00447F64">
              <w:rPr>
                <w:rFonts w:ascii="Arial" w:eastAsia="Times New Roman" w:hAnsi="Arial" w:cs="Arial"/>
                <w:sz w:val="24"/>
                <w:szCs w:val="24"/>
                <w:lang w:eastAsia="is-IS"/>
              </w:rPr>
              <w:t xml:space="preserve"> stöðum skv. 2. mgr. í samræmi við áðurnefndan viðauka IX. Ef upphaf</w:t>
            </w:r>
            <w:r w:rsidRPr="00447F64">
              <w:rPr>
                <w:rFonts w:ascii="Arial" w:eastAsia="Times New Roman" w:hAnsi="Arial" w:cs="Arial"/>
                <w:sz w:val="24"/>
                <w:szCs w:val="24"/>
                <w:lang w:eastAsia="is-IS"/>
              </w:rPr>
              <w:softHyphen/>
              <w:t xml:space="preserve">lega fjármálafyrirtækinu tekst ekki að flytja verulegan hluta útlánaáhættunnar skv. 2. mgr. er því heimilt að sleppa að reikna áhættuvegnar áhættuskuldbindingar í þeim </w:t>
            </w:r>
            <w:proofErr w:type="spellStart"/>
            <w:r w:rsidRPr="00447F64">
              <w:rPr>
                <w:rFonts w:ascii="Arial" w:eastAsia="Times New Roman" w:hAnsi="Arial" w:cs="Arial"/>
                <w:sz w:val="24"/>
                <w:szCs w:val="24"/>
                <w:lang w:eastAsia="is-IS"/>
              </w:rPr>
              <w:t>verðbréfuðu</w:t>
            </w:r>
            <w:proofErr w:type="spellEnd"/>
            <w:r w:rsidRPr="00447F64">
              <w:rPr>
                <w:rFonts w:ascii="Arial" w:eastAsia="Times New Roman" w:hAnsi="Arial" w:cs="Arial"/>
                <w:sz w:val="24"/>
                <w:szCs w:val="24"/>
                <w:lang w:eastAsia="is-IS"/>
              </w:rPr>
              <w:t xml:space="preserve"> stöðum.</w:t>
            </w:r>
          </w:p>
          <w:p w:rsidR="008317D6" w:rsidRPr="00447F64" w:rsidRDefault="008317D6" w:rsidP="00E738BF">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36. gr.</w:t>
            </w:r>
          </w:p>
          <w:p w:rsidR="008317D6" w:rsidRPr="00447F64" w:rsidRDefault="008317D6" w:rsidP="00E738BF">
            <w:pPr>
              <w:spacing w:before="100" w:beforeAutospacing="1" w:after="100" w:afterAutospacing="1" w:line="240" w:lineRule="auto"/>
              <w:jc w:val="center"/>
              <w:rPr>
                <w:rFonts w:ascii="Arial" w:eastAsia="Times New Roman" w:hAnsi="Arial" w:cs="Arial"/>
                <w:i/>
                <w:iCs/>
                <w:sz w:val="24"/>
                <w:szCs w:val="24"/>
                <w:lang w:eastAsia="is-IS"/>
              </w:rPr>
            </w:pPr>
            <w:r w:rsidRPr="00447F64">
              <w:rPr>
                <w:rFonts w:ascii="Arial" w:eastAsia="Times New Roman" w:hAnsi="Arial" w:cs="Arial"/>
                <w:i/>
                <w:iCs/>
                <w:sz w:val="24"/>
                <w:szCs w:val="24"/>
                <w:lang w:eastAsia="is-IS"/>
              </w:rPr>
              <w:t xml:space="preserve">Áhættuvogir </w:t>
            </w:r>
            <w:proofErr w:type="spellStart"/>
            <w:r w:rsidRPr="00447F64">
              <w:rPr>
                <w:rFonts w:ascii="Arial" w:eastAsia="Times New Roman" w:hAnsi="Arial" w:cs="Arial"/>
                <w:i/>
                <w:iCs/>
                <w:sz w:val="24"/>
                <w:szCs w:val="24"/>
                <w:lang w:eastAsia="is-IS"/>
              </w:rPr>
              <w:t>verðbréfaðra</w:t>
            </w:r>
            <w:proofErr w:type="spellEnd"/>
            <w:r w:rsidRPr="00447F64">
              <w:rPr>
                <w:rFonts w:ascii="Arial" w:eastAsia="Times New Roman" w:hAnsi="Arial" w:cs="Arial"/>
                <w:i/>
                <w:iCs/>
                <w:sz w:val="24"/>
                <w:szCs w:val="24"/>
                <w:lang w:eastAsia="is-IS"/>
              </w:rPr>
              <w:t xml:space="preserve"> staða.</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proofErr w:type="spellStart"/>
            <w:r w:rsidRPr="00447F64">
              <w:rPr>
                <w:rFonts w:ascii="Arial" w:eastAsia="Times New Roman" w:hAnsi="Arial" w:cs="Arial"/>
                <w:sz w:val="24"/>
                <w:szCs w:val="24"/>
                <w:lang w:eastAsia="is-IS"/>
              </w:rPr>
              <w:t>Verðbréfaðar</w:t>
            </w:r>
            <w:proofErr w:type="spellEnd"/>
            <w:r w:rsidRPr="00447F64">
              <w:rPr>
                <w:rFonts w:ascii="Arial" w:eastAsia="Times New Roman" w:hAnsi="Arial" w:cs="Arial"/>
                <w:sz w:val="24"/>
                <w:szCs w:val="24"/>
                <w:lang w:eastAsia="is-IS"/>
              </w:rPr>
              <w:t xml:space="preserve"> stöður, þ.m.t. </w:t>
            </w:r>
            <w:proofErr w:type="spellStart"/>
            <w:r w:rsidRPr="00447F64">
              <w:rPr>
                <w:rFonts w:ascii="Arial" w:eastAsia="Times New Roman" w:hAnsi="Arial" w:cs="Arial"/>
                <w:sz w:val="24"/>
                <w:szCs w:val="24"/>
                <w:lang w:eastAsia="is-IS"/>
              </w:rPr>
              <w:t>verðbréfaðar</w:t>
            </w:r>
            <w:proofErr w:type="spellEnd"/>
            <w:r w:rsidRPr="00447F64">
              <w:rPr>
                <w:rFonts w:ascii="Arial" w:eastAsia="Times New Roman" w:hAnsi="Arial" w:cs="Arial"/>
                <w:sz w:val="24"/>
                <w:szCs w:val="24"/>
                <w:lang w:eastAsia="is-IS"/>
              </w:rPr>
              <w:t xml:space="preserve"> stöður byggðar á vaxta- eða gjaldmiðla</w:t>
            </w:r>
            <w:r w:rsidRPr="00447F64">
              <w:rPr>
                <w:rFonts w:ascii="Arial" w:eastAsia="Times New Roman" w:hAnsi="Arial" w:cs="Arial"/>
                <w:sz w:val="24"/>
                <w:szCs w:val="24"/>
                <w:lang w:eastAsia="is-IS"/>
              </w:rPr>
              <w:softHyphen/>
              <w:t xml:space="preserve">afleiðum, skulu fá áhættuvog í samræmi við viðauka IX skv. 55. gr. A byggða á útlánagæðum metnum af viðurkenndu matsfyrirtæki eða á annan þann hátt sem tilgreindur er í áðurefndum viðauka IX. Þegar um er að ræða stöður í mismunandi lögum </w:t>
            </w:r>
            <w:r w:rsidRPr="00447F64">
              <w:rPr>
                <w:rFonts w:ascii="Arial" w:eastAsia="Times New Roman" w:hAnsi="Arial" w:cs="Arial"/>
                <w:i/>
                <w:iCs/>
                <w:sz w:val="24"/>
                <w:szCs w:val="24"/>
                <w:lang w:eastAsia="is-IS"/>
              </w:rPr>
              <w:t xml:space="preserve">(e. </w:t>
            </w:r>
            <w:proofErr w:type="spellStart"/>
            <w:r w:rsidRPr="00447F64">
              <w:rPr>
                <w:rFonts w:ascii="Arial" w:eastAsia="Times New Roman" w:hAnsi="Arial" w:cs="Arial"/>
                <w:i/>
                <w:iCs/>
                <w:sz w:val="24"/>
                <w:szCs w:val="24"/>
                <w:lang w:eastAsia="is-IS"/>
              </w:rPr>
              <w:t>tranches</w:t>
            </w:r>
            <w:proofErr w:type="spellEnd"/>
            <w:r w:rsidRPr="00447F64">
              <w:rPr>
                <w:rFonts w:ascii="Arial" w:eastAsia="Times New Roman" w:hAnsi="Arial" w:cs="Arial"/>
                <w:i/>
                <w:iCs/>
                <w:sz w:val="24"/>
                <w:szCs w:val="24"/>
                <w:lang w:eastAsia="is-IS"/>
              </w:rPr>
              <w:t>)</w:t>
            </w:r>
            <w:r w:rsidRPr="00447F64">
              <w:rPr>
                <w:rFonts w:ascii="Arial" w:eastAsia="Times New Roman" w:hAnsi="Arial" w:cs="Arial"/>
                <w:sz w:val="24"/>
                <w:szCs w:val="24"/>
                <w:lang w:eastAsia="is-IS"/>
              </w:rPr>
              <w:t xml:space="preserve"> </w:t>
            </w:r>
            <w:proofErr w:type="spellStart"/>
            <w:r w:rsidRPr="00447F64">
              <w:rPr>
                <w:rFonts w:ascii="Arial" w:eastAsia="Times New Roman" w:hAnsi="Arial" w:cs="Arial"/>
                <w:sz w:val="24"/>
                <w:szCs w:val="24"/>
                <w:lang w:eastAsia="is-IS"/>
              </w:rPr>
              <w:t>verðbréfunar</w:t>
            </w:r>
            <w:proofErr w:type="spellEnd"/>
            <w:r w:rsidRPr="00447F64">
              <w:rPr>
                <w:rFonts w:ascii="Arial" w:eastAsia="Times New Roman" w:hAnsi="Arial" w:cs="Arial"/>
                <w:sz w:val="24"/>
                <w:szCs w:val="24"/>
                <w:lang w:eastAsia="is-IS"/>
              </w:rPr>
              <w:t xml:space="preserve"> skal líta á hvert lag sem sérstaka stöðu. Þeir aðilar sem selja útlánavörn vegna </w:t>
            </w:r>
            <w:proofErr w:type="spellStart"/>
            <w:r w:rsidRPr="00447F64">
              <w:rPr>
                <w:rFonts w:ascii="Arial" w:eastAsia="Times New Roman" w:hAnsi="Arial" w:cs="Arial"/>
                <w:sz w:val="24"/>
                <w:szCs w:val="24"/>
                <w:lang w:eastAsia="is-IS"/>
              </w:rPr>
              <w:t>verðbréfaðra</w:t>
            </w:r>
            <w:proofErr w:type="spellEnd"/>
            <w:r w:rsidRPr="00447F64">
              <w:rPr>
                <w:rFonts w:ascii="Arial" w:eastAsia="Times New Roman" w:hAnsi="Arial" w:cs="Arial"/>
                <w:sz w:val="24"/>
                <w:szCs w:val="24"/>
                <w:lang w:eastAsia="is-IS"/>
              </w:rPr>
              <w:t xml:space="preserve"> staða eru taldir vera með stöðu í þeirri </w:t>
            </w:r>
            <w:proofErr w:type="spellStart"/>
            <w:r w:rsidRPr="00447F64">
              <w:rPr>
                <w:rFonts w:ascii="Arial" w:eastAsia="Times New Roman" w:hAnsi="Arial" w:cs="Arial"/>
                <w:sz w:val="24"/>
                <w:szCs w:val="24"/>
                <w:lang w:eastAsia="is-IS"/>
              </w:rPr>
              <w:t>verðbréfun</w:t>
            </w:r>
            <w:proofErr w:type="spellEnd"/>
            <w:r w:rsidRPr="00447F64">
              <w:rPr>
                <w:rFonts w:ascii="Arial" w:eastAsia="Times New Roman" w:hAnsi="Arial" w:cs="Arial"/>
                <w:sz w:val="24"/>
                <w:szCs w:val="24"/>
                <w:lang w:eastAsia="is-IS"/>
              </w:rPr>
              <w:t>.</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Þegar </w:t>
            </w:r>
            <w:proofErr w:type="spellStart"/>
            <w:r w:rsidRPr="00447F64">
              <w:rPr>
                <w:rFonts w:ascii="Arial" w:eastAsia="Times New Roman" w:hAnsi="Arial" w:cs="Arial"/>
                <w:sz w:val="24"/>
                <w:szCs w:val="24"/>
                <w:lang w:eastAsia="is-IS"/>
              </w:rPr>
              <w:t>verðbréfuð</w:t>
            </w:r>
            <w:proofErr w:type="spellEnd"/>
            <w:r w:rsidRPr="00447F64">
              <w:rPr>
                <w:rFonts w:ascii="Arial" w:eastAsia="Times New Roman" w:hAnsi="Arial" w:cs="Arial"/>
                <w:sz w:val="24"/>
                <w:szCs w:val="24"/>
                <w:lang w:eastAsia="is-IS"/>
              </w:rPr>
              <w:t xml:space="preserve"> staða er háð fjármagnaðri eða ófjármagnaðri útlánavörn má breyta áhættuvoginni í samræmi við 33.-36. gr. og ofangreindan viðauka IX. Áhættuvegnar áhættuskuldbindingafjárhæðir vegna </w:t>
            </w:r>
            <w:proofErr w:type="spellStart"/>
            <w:r w:rsidRPr="00447F64">
              <w:rPr>
                <w:rFonts w:ascii="Arial" w:eastAsia="Times New Roman" w:hAnsi="Arial" w:cs="Arial"/>
                <w:sz w:val="24"/>
                <w:szCs w:val="24"/>
                <w:lang w:eastAsia="is-IS"/>
              </w:rPr>
              <w:t>verðbréfaðra</w:t>
            </w:r>
            <w:proofErr w:type="spellEnd"/>
            <w:r w:rsidRPr="00447F64">
              <w:rPr>
                <w:rFonts w:ascii="Arial" w:eastAsia="Times New Roman" w:hAnsi="Arial" w:cs="Arial"/>
                <w:sz w:val="24"/>
                <w:szCs w:val="24"/>
                <w:lang w:eastAsia="is-IS"/>
              </w:rPr>
              <w:t xml:space="preserve"> staða skulu vera hluti af eiginfjárgrunni skv. 1. </w:t>
            </w:r>
            <w:proofErr w:type="spellStart"/>
            <w:r w:rsidRPr="00447F64">
              <w:rPr>
                <w:rFonts w:ascii="Arial" w:eastAsia="Times New Roman" w:hAnsi="Arial" w:cs="Arial"/>
                <w:sz w:val="24"/>
                <w:szCs w:val="24"/>
                <w:lang w:eastAsia="is-IS"/>
              </w:rPr>
              <w:t>tl</w:t>
            </w:r>
            <w:proofErr w:type="spellEnd"/>
            <w:r w:rsidRPr="00447F64">
              <w:rPr>
                <w:rFonts w:ascii="Arial" w:eastAsia="Times New Roman" w:hAnsi="Arial" w:cs="Arial"/>
                <w:sz w:val="24"/>
                <w:szCs w:val="24"/>
                <w:lang w:eastAsia="is-IS"/>
              </w:rPr>
              <w:t xml:space="preserve">. 1. mgr. 4. gr. </w:t>
            </w:r>
            <w:proofErr w:type="spellStart"/>
            <w:r w:rsidRPr="00447F64">
              <w:rPr>
                <w:rFonts w:ascii="Arial" w:eastAsia="Times New Roman" w:hAnsi="Arial" w:cs="Arial"/>
                <w:sz w:val="24"/>
                <w:szCs w:val="24"/>
                <w:lang w:eastAsia="is-IS"/>
              </w:rPr>
              <w:t>Verðbréfaðar</w:t>
            </w:r>
            <w:proofErr w:type="spellEnd"/>
            <w:r w:rsidRPr="00447F64">
              <w:rPr>
                <w:rFonts w:ascii="Arial" w:eastAsia="Times New Roman" w:hAnsi="Arial" w:cs="Arial"/>
                <w:sz w:val="24"/>
                <w:szCs w:val="24"/>
                <w:lang w:eastAsia="is-IS"/>
              </w:rPr>
              <w:t xml:space="preserve"> stöður með áhættuvog 1.250% má draga frá eigin</w:t>
            </w:r>
            <w:r w:rsidRPr="00447F64">
              <w:rPr>
                <w:rFonts w:ascii="Arial" w:eastAsia="Times New Roman" w:hAnsi="Arial" w:cs="Arial"/>
                <w:sz w:val="24"/>
                <w:szCs w:val="24"/>
                <w:lang w:eastAsia="is-IS"/>
              </w:rPr>
              <w:softHyphen/>
              <w:t>fjárgrunni enda hafa þær ekki verið teknar með í fyrrgreindan útreikning.</w:t>
            </w:r>
          </w:p>
          <w:p w:rsidR="008317D6" w:rsidRPr="00447F64" w:rsidRDefault="008317D6" w:rsidP="00E738BF">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37. gr.</w:t>
            </w:r>
          </w:p>
          <w:p w:rsidR="008317D6" w:rsidRPr="00447F64" w:rsidRDefault="008317D6" w:rsidP="00E738BF">
            <w:pPr>
              <w:spacing w:before="100" w:beforeAutospacing="1" w:after="100" w:afterAutospacing="1" w:line="240" w:lineRule="auto"/>
              <w:jc w:val="center"/>
              <w:rPr>
                <w:rFonts w:ascii="Arial" w:eastAsia="Times New Roman" w:hAnsi="Arial" w:cs="Arial"/>
                <w:i/>
                <w:iCs/>
                <w:sz w:val="24"/>
                <w:szCs w:val="24"/>
                <w:lang w:eastAsia="is-IS"/>
              </w:rPr>
            </w:pPr>
            <w:r w:rsidRPr="00447F64">
              <w:rPr>
                <w:rFonts w:ascii="Arial" w:eastAsia="Times New Roman" w:hAnsi="Arial" w:cs="Arial"/>
                <w:i/>
                <w:iCs/>
                <w:sz w:val="24"/>
                <w:szCs w:val="24"/>
                <w:lang w:eastAsia="is-IS"/>
              </w:rPr>
              <w:t>Lánshæfismat viðurkenndra matsfyrirtækja.</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Nota má lánshæfismat viðurkennds matsfyrirtækis til að ákvarða áhættuvog </w:t>
            </w:r>
            <w:proofErr w:type="spellStart"/>
            <w:r w:rsidRPr="00447F64">
              <w:rPr>
                <w:rFonts w:ascii="Arial" w:eastAsia="Times New Roman" w:hAnsi="Arial" w:cs="Arial"/>
                <w:sz w:val="24"/>
                <w:szCs w:val="24"/>
                <w:lang w:eastAsia="is-IS"/>
              </w:rPr>
              <w:t>verð</w:t>
            </w:r>
            <w:r w:rsidRPr="00447F64">
              <w:rPr>
                <w:rFonts w:ascii="Arial" w:eastAsia="Times New Roman" w:hAnsi="Arial" w:cs="Arial"/>
                <w:sz w:val="24"/>
                <w:szCs w:val="24"/>
                <w:lang w:eastAsia="is-IS"/>
              </w:rPr>
              <w:softHyphen/>
              <w:t>bréfaðra</w:t>
            </w:r>
            <w:proofErr w:type="spellEnd"/>
            <w:r w:rsidRPr="00447F64">
              <w:rPr>
                <w:rFonts w:ascii="Arial" w:eastAsia="Times New Roman" w:hAnsi="Arial" w:cs="Arial"/>
                <w:sz w:val="24"/>
                <w:szCs w:val="24"/>
                <w:lang w:eastAsia="is-IS"/>
              </w:rPr>
              <w:t xml:space="preserve"> staða hafi matsfyrirtækið verið viðurkennt sérstaklega í þessu skyni af Fjármála</w:t>
            </w:r>
            <w:r w:rsidRPr="00447F64">
              <w:rPr>
                <w:rFonts w:ascii="Arial" w:eastAsia="Times New Roman" w:hAnsi="Arial" w:cs="Arial"/>
                <w:sz w:val="24"/>
                <w:szCs w:val="24"/>
                <w:lang w:eastAsia="is-IS"/>
              </w:rPr>
              <w:softHyphen/>
              <w:t xml:space="preserve">eftirlitinu og matsfyrirtækið hafi sýnt þekkingu og hæfni á sviði </w:t>
            </w:r>
            <w:proofErr w:type="spellStart"/>
            <w:r w:rsidRPr="00447F64">
              <w:rPr>
                <w:rFonts w:ascii="Arial" w:eastAsia="Times New Roman" w:hAnsi="Arial" w:cs="Arial"/>
                <w:sz w:val="24"/>
                <w:szCs w:val="24"/>
                <w:lang w:eastAsia="is-IS"/>
              </w:rPr>
              <w:t>verðbréfunar</w:t>
            </w:r>
            <w:proofErr w:type="spellEnd"/>
            <w:r w:rsidRPr="00447F64">
              <w:rPr>
                <w:rFonts w:ascii="Arial" w:eastAsia="Times New Roman" w:hAnsi="Arial" w:cs="Arial"/>
                <w:sz w:val="24"/>
                <w:szCs w:val="24"/>
                <w:lang w:eastAsia="is-IS"/>
              </w:rPr>
              <w:t xml:space="preserve"> og hlotið viðurkenningu markaðarins. Sérhver lánshæfiseinkunn á sér samsvörun í þrepi útlánagæða sem Fjármálaeftirlitið auglýsir.</w:t>
            </w:r>
          </w:p>
          <w:p w:rsidR="008317D6" w:rsidRPr="00447F64" w:rsidRDefault="008317D6" w:rsidP="00E738BF">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38. gr.</w:t>
            </w:r>
          </w:p>
          <w:p w:rsidR="008317D6" w:rsidRPr="00447F64" w:rsidRDefault="008317D6" w:rsidP="00E738BF">
            <w:pPr>
              <w:spacing w:before="100" w:beforeAutospacing="1" w:after="100" w:afterAutospacing="1" w:line="240" w:lineRule="auto"/>
              <w:jc w:val="center"/>
              <w:rPr>
                <w:rFonts w:ascii="Arial" w:eastAsia="Times New Roman" w:hAnsi="Arial" w:cs="Arial"/>
                <w:i/>
                <w:iCs/>
                <w:sz w:val="24"/>
                <w:szCs w:val="24"/>
                <w:lang w:eastAsia="is-IS"/>
              </w:rPr>
            </w:pPr>
            <w:proofErr w:type="spellStart"/>
            <w:r w:rsidRPr="00447F64">
              <w:rPr>
                <w:rFonts w:ascii="Arial" w:eastAsia="Times New Roman" w:hAnsi="Arial" w:cs="Arial"/>
                <w:i/>
                <w:iCs/>
                <w:sz w:val="24"/>
                <w:szCs w:val="24"/>
                <w:lang w:eastAsia="is-IS"/>
              </w:rPr>
              <w:t>Verðbréfun</w:t>
            </w:r>
            <w:proofErr w:type="spellEnd"/>
            <w:r w:rsidRPr="00447F64">
              <w:rPr>
                <w:rFonts w:ascii="Arial" w:eastAsia="Times New Roman" w:hAnsi="Arial" w:cs="Arial"/>
                <w:i/>
                <w:iCs/>
                <w:sz w:val="24"/>
                <w:szCs w:val="24"/>
                <w:lang w:eastAsia="is-IS"/>
              </w:rPr>
              <w:t xml:space="preserve"> hlaupandi áhættuskuldbindinga.</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Þegar um er að ræða </w:t>
            </w:r>
            <w:proofErr w:type="spellStart"/>
            <w:r w:rsidRPr="00447F64">
              <w:rPr>
                <w:rFonts w:ascii="Arial" w:eastAsia="Times New Roman" w:hAnsi="Arial" w:cs="Arial"/>
                <w:sz w:val="24"/>
                <w:szCs w:val="24"/>
                <w:lang w:eastAsia="is-IS"/>
              </w:rPr>
              <w:t>verðbréfun</w:t>
            </w:r>
            <w:proofErr w:type="spellEnd"/>
            <w:r w:rsidRPr="00447F64">
              <w:rPr>
                <w:rFonts w:ascii="Arial" w:eastAsia="Times New Roman" w:hAnsi="Arial" w:cs="Arial"/>
                <w:sz w:val="24"/>
                <w:szCs w:val="24"/>
                <w:lang w:eastAsia="is-IS"/>
              </w:rPr>
              <w:t xml:space="preserve"> hlaupandi áhættuskuldbindinga</w:t>
            </w:r>
            <w:r w:rsidRPr="00447F64">
              <w:rPr>
                <w:rFonts w:ascii="Arial" w:eastAsia="Times New Roman" w:hAnsi="Arial" w:cs="Arial"/>
                <w:i/>
                <w:iCs/>
                <w:sz w:val="24"/>
                <w:szCs w:val="24"/>
                <w:lang w:eastAsia="is-IS"/>
              </w:rPr>
              <w:t xml:space="preserve"> (e. </w:t>
            </w:r>
            <w:proofErr w:type="spellStart"/>
            <w:r w:rsidRPr="00447F64">
              <w:rPr>
                <w:rFonts w:ascii="Arial" w:eastAsia="Times New Roman" w:hAnsi="Arial" w:cs="Arial"/>
                <w:i/>
                <w:iCs/>
                <w:sz w:val="24"/>
                <w:szCs w:val="24"/>
                <w:lang w:eastAsia="is-IS"/>
              </w:rPr>
              <w:t>securitisation</w:t>
            </w:r>
            <w:proofErr w:type="spellEnd"/>
            <w:r w:rsidRPr="00447F64">
              <w:rPr>
                <w:rFonts w:ascii="Arial" w:eastAsia="Times New Roman" w:hAnsi="Arial" w:cs="Arial"/>
                <w:i/>
                <w:iCs/>
                <w:sz w:val="24"/>
                <w:szCs w:val="24"/>
                <w:lang w:eastAsia="is-IS"/>
              </w:rPr>
              <w:t xml:space="preserve"> of </w:t>
            </w:r>
            <w:proofErr w:type="spellStart"/>
            <w:r w:rsidRPr="00447F64">
              <w:rPr>
                <w:rFonts w:ascii="Arial" w:eastAsia="Times New Roman" w:hAnsi="Arial" w:cs="Arial"/>
                <w:i/>
                <w:iCs/>
                <w:sz w:val="24"/>
                <w:szCs w:val="24"/>
                <w:lang w:eastAsia="is-IS"/>
              </w:rPr>
              <w:t>revolving</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exposures</w:t>
            </w:r>
            <w:proofErr w:type="spellEnd"/>
            <w:r w:rsidRPr="00447F64">
              <w:rPr>
                <w:rFonts w:ascii="Arial" w:eastAsia="Times New Roman" w:hAnsi="Arial" w:cs="Arial"/>
                <w:i/>
                <w:iCs/>
                <w:sz w:val="24"/>
                <w:szCs w:val="24"/>
                <w:lang w:eastAsia="is-IS"/>
              </w:rPr>
              <w:t>)</w:t>
            </w:r>
            <w:r w:rsidRPr="00447F64">
              <w:rPr>
                <w:rFonts w:ascii="Arial" w:eastAsia="Times New Roman" w:hAnsi="Arial" w:cs="Arial"/>
                <w:sz w:val="24"/>
                <w:szCs w:val="24"/>
                <w:lang w:eastAsia="is-IS"/>
              </w:rPr>
              <w:t xml:space="preserve">, með ákvæðum um að greiða megi afborganir fyrir gjalddaga, skal upphaflega fjármálafyrirtækið reikna viðbótar áhættuvegna áhættuskuldbindingafjárhæð með tilliti til þeirrar auknu útlánaáhættu sem getur átt sér stað í kjölfar þess að afborganir eru greiddar fyrir gjalddaga. Hlaupandi áhættuskuldbinding skal í þessu sambandi vera áhættuskuldbinding þar sem útistandandi áhættukrafa á viðskiptavin getur flökt </w:t>
            </w:r>
            <w:r w:rsidRPr="00447F64">
              <w:rPr>
                <w:rFonts w:ascii="Arial" w:eastAsia="Times New Roman" w:hAnsi="Arial" w:cs="Arial"/>
                <w:sz w:val="24"/>
                <w:szCs w:val="24"/>
                <w:lang w:eastAsia="is-IS"/>
              </w:rPr>
              <w:lastRenderedPageBreak/>
              <w:t>innan fyrirfram ákveðinna marka eftir því hvort hann ákveður að fá lánað eða endurgreiða. Jafnframt skal ákvæði um að greiða fyrir gjalddaga vera samningsbundið, þar sem krafist er, að ef fyrirfram skilgreindir atburðir verða, beri að innleysa stöður fjárfesta fyrir þann gjalddaga sem upphaflega er tilgreindur í hinu útgefna verðbréfi.</w:t>
            </w:r>
          </w:p>
          <w:p w:rsidR="008317D6" w:rsidRPr="00447F64" w:rsidRDefault="008317D6" w:rsidP="00E738BF">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39. gr.</w:t>
            </w:r>
          </w:p>
          <w:p w:rsidR="008317D6" w:rsidRPr="00447F64" w:rsidRDefault="008317D6" w:rsidP="00E738BF">
            <w:pPr>
              <w:spacing w:before="100" w:beforeAutospacing="1" w:after="100" w:afterAutospacing="1" w:line="240" w:lineRule="auto"/>
              <w:jc w:val="center"/>
              <w:rPr>
                <w:rFonts w:ascii="Arial" w:eastAsia="Times New Roman" w:hAnsi="Arial" w:cs="Arial"/>
                <w:i/>
                <w:iCs/>
                <w:sz w:val="24"/>
                <w:szCs w:val="24"/>
                <w:lang w:eastAsia="is-IS"/>
              </w:rPr>
            </w:pPr>
            <w:r w:rsidRPr="00447F64">
              <w:rPr>
                <w:rFonts w:ascii="Arial" w:eastAsia="Times New Roman" w:hAnsi="Arial" w:cs="Arial"/>
                <w:i/>
                <w:iCs/>
                <w:sz w:val="24"/>
                <w:szCs w:val="24"/>
                <w:lang w:eastAsia="is-IS"/>
              </w:rPr>
              <w:t xml:space="preserve">Stuðningur við </w:t>
            </w:r>
            <w:proofErr w:type="spellStart"/>
            <w:r w:rsidRPr="00447F64">
              <w:rPr>
                <w:rFonts w:ascii="Arial" w:eastAsia="Times New Roman" w:hAnsi="Arial" w:cs="Arial"/>
                <w:i/>
                <w:iCs/>
                <w:sz w:val="24"/>
                <w:szCs w:val="24"/>
                <w:lang w:eastAsia="is-IS"/>
              </w:rPr>
              <w:t>verðbréfun</w:t>
            </w:r>
            <w:proofErr w:type="spellEnd"/>
            <w:r w:rsidRPr="00447F64">
              <w:rPr>
                <w:rFonts w:ascii="Arial" w:eastAsia="Times New Roman" w:hAnsi="Arial" w:cs="Arial"/>
                <w:i/>
                <w:iCs/>
                <w:sz w:val="24"/>
                <w:szCs w:val="24"/>
                <w:lang w:eastAsia="is-IS"/>
              </w:rPr>
              <w:t>.</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Upphaflegt fjármálafyrirtæki sem reiknar áhættuvegnar áhættuskuldbindingar skv. 35. gr. má ekki veita frekari tryggingar </w:t>
            </w:r>
            <w:r w:rsidRPr="00447F64">
              <w:rPr>
                <w:rFonts w:ascii="Arial" w:eastAsia="Times New Roman" w:hAnsi="Arial" w:cs="Arial"/>
                <w:i/>
                <w:iCs/>
                <w:sz w:val="24"/>
                <w:szCs w:val="24"/>
                <w:lang w:eastAsia="is-IS"/>
              </w:rPr>
              <w:t xml:space="preserve">(e. </w:t>
            </w:r>
            <w:proofErr w:type="spellStart"/>
            <w:r w:rsidRPr="00447F64">
              <w:rPr>
                <w:rFonts w:ascii="Arial" w:eastAsia="Times New Roman" w:hAnsi="Arial" w:cs="Arial"/>
                <w:i/>
                <w:iCs/>
                <w:sz w:val="24"/>
                <w:szCs w:val="24"/>
                <w:lang w:eastAsia="is-IS"/>
              </w:rPr>
              <w:t>support</w:t>
            </w:r>
            <w:proofErr w:type="spellEnd"/>
            <w:r w:rsidRPr="00447F64">
              <w:rPr>
                <w:rFonts w:ascii="Arial" w:eastAsia="Times New Roman" w:hAnsi="Arial" w:cs="Arial"/>
                <w:i/>
                <w:iCs/>
                <w:sz w:val="24"/>
                <w:szCs w:val="24"/>
                <w:lang w:eastAsia="is-IS"/>
              </w:rPr>
              <w:t>)</w:t>
            </w:r>
            <w:r w:rsidRPr="00447F64">
              <w:rPr>
                <w:rFonts w:ascii="Arial" w:eastAsia="Times New Roman" w:hAnsi="Arial" w:cs="Arial"/>
                <w:sz w:val="24"/>
                <w:szCs w:val="24"/>
                <w:lang w:eastAsia="is-IS"/>
              </w:rPr>
              <w:t xml:space="preserve"> umfram samninga við </w:t>
            </w:r>
            <w:proofErr w:type="spellStart"/>
            <w:r w:rsidRPr="00447F64">
              <w:rPr>
                <w:rFonts w:ascii="Arial" w:eastAsia="Times New Roman" w:hAnsi="Arial" w:cs="Arial"/>
                <w:sz w:val="24"/>
                <w:szCs w:val="24"/>
                <w:lang w:eastAsia="is-IS"/>
              </w:rPr>
              <w:t>verðbréfun</w:t>
            </w:r>
            <w:proofErr w:type="spellEnd"/>
            <w:r w:rsidRPr="00447F64">
              <w:rPr>
                <w:rFonts w:ascii="Arial" w:eastAsia="Times New Roman" w:hAnsi="Arial" w:cs="Arial"/>
                <w:sz w:val="24"/>
                <w:szCs w:val="24"/>
                <w:lang w:eastAsia="is-IS"/>
              </w:rPr>
              <w:t xml:space="preserve"> með það að markmiði að draga úr hugsanlegu tapi fjárfesta.</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Geti upphaflegt fjármálafyrirtæki ekki uppfyllt ákvæði 1. mgr. varðandi </w:t>
            </w:r>
            <w:proofErr w:type="spellStart"/>
            <w:r w:rsidRPr="00447F64">
              <w:rPr>
                <w:rFonts w:ascii="Arial" w:eastAsia="Times New Roman" w:hAnsi="Arial" w:cs="Arial"/>
                <w:sz w:val="24"/>
                <w:szCs w:val="24"/>
                <w:lang w:eastAsia="is-IS"/>
              </w:rPr>
              <w:t>verðbréfun</w:t>
            </w:r>
            <w:proofErr w:type="spellEnd"/>
            <w:r w:rsidRPr="00447F64">
              <w:rPr>
                <w:rFonts w:ascii="Arial" w:eastAsia="Times New Roman" w:hAnsi="Arial" w:cs="Arial"/>
                <w:sz w:val="24"/>
                <w:szCs w:val="24"/>
                <w:lang w:eastAsia="is-IS"/>
              </w:rPr>
              <w:t xml:space="preserve"> skal reikna viðbótar eiginfjárkröfu vegna allra </w:t>
            </w:r>
            <w:proofErr w:type="spellStart"/>
            <w:r w:rsidRPr="00447F64">
              <w:rPr>
                <w:rFonts w:ascii="Arial" w:eastAsia="Times New Roman" w:hAnsi="Arial" w:cs="Arial"/>
                <w:sz w:val="24"/>
                <w:szCs w:val="24"/>
                <w:lang w:eastAsia="is-IS"/>
              </w:rPr>
              <w:t>verðbréfaðra</w:t>
            </w:r>
            <w:proofErr w:type="spellEnd"/>
            <w:r w:rsidRPr="00447F64">
              <w:rPr>
                <w:rFonts w:ascii="Arial" w:eastAsia="Times New Roman" w:hAnsi="Arial" w:cs="Arial"/>
                <w:sz w:val="24"/>
                <w:szCs w:val="24"/>
                <w:lang w:eastAsia="is-IS"/>
              </w:rPr>
              <w:t xml:space="preserve"> staða eins og þær hafi ekki verið </w:t>
            </w:r>
            <w:proofErr w:type="spellStart"/>
            <w:r w:rsidRPr="00447F64">
              <w:rPr>
                <w:rFonts w:ascii="Arial" w:eastAsia="Times New Roman" w:hAnsi="Arial" w:cs="Arial"/>
                <w:sz w:val="24"/>
                <w:szCs w:val="24"/>
                <w:lang w:eastAsia="is-IS"/>
              </w:rPr>
              <w:t>verðbréfaðar</w:t>
            </w:r>
            <w:proofErr w:type="spellEnd"/>
            <w:r w:rsidRPr="00447F64">
              <w:rPr>
                <w:rFonts w:ascii="Arial" w:eastAsia="Times New Roman" w:hAnsi="Arial" w:cs="Arial"/>
                <w:sz w:val="24"/>
                <w:szCs w:val="24"/>
                <w:lang w:eastAsia="is-IS"/>
              </w:rPr>
              <w:t xml:space="preserve">. Fjármálafyrirtækið skal birta opinberlega að það hafi veitt tryggingar umfram samninga við </w:t>
            </w:r>
            <w:proofErr w:type="spellStart"/>
            <w:r w:rsidRPr="00447F64">
              <w:rPr>
                <w:rFonts w:ascii="Arial" w:eastAsia="Times New Roman" w:hAnsi="Arial" w:cs="Arial"/>
                <w:sz w:val="24"/>
                <w:szCs w:val="24"/>
                <w:lang w:eastAsia="is-IS"/>
              </w:rPr>
              <w:t>verðbréfunina</w:t>
            </w:r>
            <w:proofErr w:type="spellEnd"/>
            <w:r w:rsidRPr="00447F64">
              <w:rPr>
                <w:rFonts w:ascii="Arial" w:eastAsia="Times New Roman" w:hAnsi="Arial" w:cs="Arial"/>
                <w:sz w:val="24"/>
                <w:szCs w:val="24"/>
                <w:lang w:eastAsia="is-IS"/>
              </w:rPr>
              <w:t>, og áhrif þess á eiginfjárkröfu.</w:t>
            </w:r>
          </w:p>
          <w:p w:rsidR="008317D6" w:rsidRPr="00447F64" w:rsidRDefault="008317D6" w:rsidP="00E738BF">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IX. KAFLI</w:t>
            </w:r>
          </w:p>
          <w:p w:rsidR="008317D6" w:rsidRPr="00447F64" w:rsidRDefault="008317D6" w:rsidP="00E738BF">
            <w:pPr>
              <w:spacing w:before="100" w:beforeAutospacing="1" w:after="100" w:afterAutospacing="1" w:line="240" w:lineRule="auto"/>
              <w:jc w:val="center"/>
              <w:rPr>
                <w:rFonts w:ascii="Arial" w:eastAsia="Times New Roman" w:hAnsi="Arial" w:cs="Arial"/>
                <w:b/>
                <w:bCs/>
                <w:sz w:val="24"/>
                <w:szCs w:val="24"/>
                <w:lang w:eastAsia="is-IS"/>
              </w:rPr>
            </w:pPr>
            <w:r w:rsidRPr="00447F64">
              <w:rPr>
                <w:rFonts w:ascii="Arial" w:eastAsia="Times New Roman" w:hAnsi="Arial" w:cs="Arial"/>
                <w:b/>
                <w:bCs/>
                <w:sz w:val="24"/>
                <w:szCs w:val="24"/>
                <w:lang w:eastAsia="is-IS"/>
              </w:rPr>
              <w:t>Rekstraráhætta.</w:t>
            </w:r>
          </w:p>
          <w:p w:rsidR="008317D6" w:rsidRPr="00447F64" w:rsidRDefault="008317D6" w:rsidP="00E738BF">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40. gr.</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Eiginfjárkröfu vegna rekstraráhættu skal reikna í samræmi við aðferðir sem tilgreindar eru í 41., 42.-44. og 45. gr.</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Beiti fjármálafyrirtæki aðferð þeirri sem lýst er í 42.-44. gr. (Staðalaðferð) er óheimilt að beita síðar grundvallaraðferð þeirri sem lýst er í 41. gr. nema að gefnu tilefni og með leyfi Fjármálaeftirlitsins. Sama gildir ef fjármálafyrirtæki beitir aðferð þeirri sem lýst er í 45. gr., en þá er óheimilt að beita síðar aðferðum 41. eða 42.-44. gr. </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Fjármálaeftirlitið getur þó veitt leyfi til að beita samsettum aðferðum í samræmi við 4. hluta viðauka X skv. 55. gr. A.</w:t>
            </w:r>
          </w:p>
          <w:p w:rsidR="008317D6" w:rsidRPr="00447F64" w:rsidRDefault="008317D6" w:rsidP="00E738BF">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41. gr.</w:t>
            </w:r>
          </w:p>
          <w:p w:rsidR="008317D6" w:rsidRPr="00447F64" w:rsidRDefault="008317D6" w:rsidP="00E738BF">
            <w:pPr>
              <w:spacing w:before="100" w:beforeAutospacing="1" w:after="100" w:afterAutospacing="1" w:line="240" w:lineRule="auto"/>
              <w:jc w:val="center"/>
              <w:rPr>
                <w:rFonts w:ascii="Arial" w:eastAsia="Times New Roman" w:hAnsi="Arial" w:cs="Arial"/>
                <w:i/>
                <w:iCs/>
                <w:sz w:val="24"/>
                <w:szCs w:val="24"/>
                <w:lang w:eastAsia="is-IS"/>
              </w:rPr>
            </w:pPr>
            <w:r w:rsidRPr="00447F64">
              <w:rPr>
                <w:rFonts w:ascii="Arial" w:eastAsia="Times New Roman" w:hAnsi="Arial" w:cs="Arial"/>
                <w:i/>
                <w:iCs/>
                <w:sz w:val="24"/>
                <w:szCs w:val="24"/>
                <w:lang w:eastAsia="is-IS"/>
              </w:rPr>
              <w:t>Grundvallaraðferð (</w:t>
            </w:r>
            <w:proofErr w:type="spellStart"/>
            <w:r w:rsidRPr="00447F64">
              <w:rPr>
                <w:rFonts w:ascii="Arial" w:eastAsia="Times New Roman" w:hAnsi="Arial" w:cs="Arial"/>
                <w:i/>
                <w:iCs/>
                <w:sz w:val="24"/>
                <w:szCs w:val="24"/>
                <w:lang w:eastAsia="is-IS"/>
              </w:rPr>
              <w:t>Basic</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Indicator</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Approach</w:t>
            </w:r>
            <w:proofErr w:type="spellEnd"/>
            <w:r w:rsidRPr="00447F64">
              <w:rPr>
                <w:rFonts w:ascii="Arial" w:eastAsia="Times New Roman" w:hAnsi="Arial" w:cs="Arial"/>
                <w:i/>
                <w:iCs/>
                <w:sz w:val="24"/>
                <w:szCs w:val="24"/>
                <w:lang w:eastAsia="is-IS"/>
              </w:rPr>
              <w:t>).</w:t>
            </w:r>
          </w:p>
          <w:p w:rsidR="008317D6" w:rsidRPr="00447F64" w:rsidRDefault="008317D6" w:rsidP="00447F64">
            <w:pPr>
              <w:spacing w:before="100" w:beforeAutospacing="1" w:after="100" w:afterAutospacing="1" w:line="240" w:lineRule="auto"/>
              <w:jc w:val="both"/>
              <w:rPr>
                <w:rFonts w:ascii="Arial" w:eastAsia="Times New Roman" w:hAnsi="Arial" w:cs="Arial"/>
                <w:i/>
                <w:iCs/>
                <w:sz w:val="24"/>
                <w:szCs w:val="24"/>
                <w:lang w:eastAsia="is-IS"/>
              </w:rPr>
            </w:pPr>
            <w:r w:rsidRPr="00447F64">
              <w:rPr>
                <w:rFonts w:ascii="Arial" w:eastAsia="Times New Roman" w:hAnsi="Arial" w:cs="Arial"/>
                <w:sz w:val="24"/>
                <w:szCs w:val="24"/>
                <w:lang w:eastAsia="is-IS"/>
              </w:rPr>
              <w:t xml:space="preserve">Eiginfjárkrafa vegna rekstraráhættu samkvæmt grundvallaraðferð </w:t>
            </w:r>
            <w:r w:rsidRPr="00447F64">
              <w:rPr>
                <w:rFonts w:ascii="Arial" w:eastAsia="Times New Roman" w:hAnsi="Arial" w:cs="Arial"/>
                <w:i/>
                <w:iCs/>
                <w:sz w:val="24"/>
                <w:szCs w:val="24"/>
                <w:lang w:eastAsia="is-IS"/>
              </w:rPr>
              <w:t xml:space="preserve">(e. </w:t>
            </w:r>
            <w:proofErr w:type="spellStart"/>
            <w:r w:rsidRPr="00447F64">
              <w:rPr>
                <w:rFonts w:ascii="Arial" w:eastAsia="Times New Roman" w:hAnsi="Arial" w:cs="Arial"/>
                <w:i/>
                <w:iCs/>
                <w:sz w:val="24"/>
                <w:szCs w:val="24"/>
                <w:lang w:eastAsia="is-IS"/>
              </w:rPr>
              <w:t>Basic</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Indicator</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Approach</w:t>
            </w:r>
            <w:proofErr w:type="spellEnd"/>
            <w:r w:rsidRPr="00447F64">
              <w:rPr>
                <w:rFonts w:ascii="Arial" w:eastAsia="Times New Roman" w:hAnsi="Arial" w:cs="Arial"/>
                <w:i/>
                <w:iCs/>
                <w:sz w:val="24"/>
                <w:szCs w:val="24"/>
                <w:lang w:eastAsia="is-IS"/>
              </w:rPr>
              <w:t>)</w:t>
            </w:r>
            <w:r w:rsidRPr="00447F64">
              <w:rPr>
                <w:rFonts w:ascii="Arial" w:eastAsia="Times New Roman" w:hAnsi="Arial" w:cs="Arial"/>
                <w:sz w:val="24"/>
                <w:szCs w:val="24"/>
                <w:lang w:eastAsia="is-IS"/>
              </w:rPr>
              <w:t xml:space="preserve"> skal reiknast sem tiltekið hlutfall af viðeigandi mælikvarða </w:t>
            </w:r>
            <w:r w:rsidRPr="00447F64">
              <w:rPr>
                <w:rFonts w:ascii="Arial" w:eastAsia="Times New Roman" w:hAnsi="Arial" w:cs="Arial"/>
                <w:i/>
                <w:iCs/>
                <w:sz w:val="24"/>
                <w:szCs w:val="24"/>
                <w:lang w:eastAsia="is-IS"/>
              </w:rPr>
              <w:t xml:space="preserve">(e. </w:t>
            </w:r>
            <w:proofErr w:type="spellStart"/>
            <w:r w:rsidRPr="00447F64">
              <w:rPr>
                <w:rFonts w:ascii="Arial" w:eastAsia="Times New Roman" w:hAnsi="Arial" w:cs="Arial"/>
                <w:i/>
                <w:iCs/>
                <w:sz w:val="24"/>
                <w:szCs w:val="24"/>
                <w:lang w:eastAsia="is-IS"/>
              </w:rPr>
              <w:t>indicator</w:t>
            </w:r>
            <w:proofErr w:type="spellEnd"/>
            <w:r w:rsidRPr="00447F64">
              <w:rPr>
                <w:rFonts w:ascii="Arial" w:eastAsia="Times New Roman" w:hAnsi="Arial" w:cs="Arial"/>
                <w:i/>
                <w:iCs/>
                <w:sz w:val="24"/>
                <w:szCs w:val="24"/>
                <w:lang w:eastAsia="is-IS"/>
              </w:rPr>
              <w:t>).</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Eiginfjárkrafa vegna rekstraráhættu skal vera 15% af viðeigandi mælikvarða eins og tilgreint er í eftirfarandi málsgreinum:</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Viðeigandi mælikvarði er meðaltal samtölu hreinna vaxtatekna og annarra rekstrartekna síðustu þriggja reikningsára (þrjú 12-mánaða tímabil). Séu </w:t>
            </w:r>
            <w:r w:rsidRPr="00447F64">
              <w:rPr>
                <w:rFonts w:ascii="Arial" w:eastAsia="Times New Roman" w:hAnsi="Arial" w:cs="Arial"/>
                <w:sz w:val="24"/>
                <w:szCs w:val="24"/>
                <w:lang w:eastAsia="is-IS"/>
              </w:rPr>
              <w:lastRenderedPageBreak/>
              <w:t>endurskoðaðar tölur ekki tiltækar er heimilt að nota áætlun.</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Sé samtalan eitthvert reikningsárið neikvæð eða jafnt og núll skal hún ekki talin með í þriggja ára meðaltalinu. Mælikvarðinn skal vera samtala jákvæðra stærða deilt með fjölda jákvæðra stærða.</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Mælikvarðinn skal samanstanda af eftirfarandi rekstrarliðum sbr. ennfremur 27. gr. tilskipunar 86/635/EB:</w:t>
            </w:r>
          </w:p>
          <w:tbl>
            <w:tblPr>
              <w:tblW w:w="637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75"/>
            </w:tblGrid>
            <w:tr w:rsidR="008317D6" w:rsidRPr="00447F6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1 Vaxtatekjur o.fl.</w:t>
                  </w:r>
                  <w:r w:rsidRPr="00447F64">
                    <w:rPr>
                      <w:rFonts w:ascii="Arial" w:eastAsia="Times New Roman" w:hAnsi="Arial" w:cs="Arial"/>
                      <w:sz w:val="24"/>
                      <w:szCs w:val="24"/>
                      <w:lang w:eastAsia="is-IS"/>
                    </w:rPr>
                    <w:br/>
                    <w:t>2 Vaxtagjöld o.fl.</w:t>
                  </w:r>
                </w:p>
              </w:tc>
            </w:tr>
            <w:tr w:rsidR="008317D6" w:rsidRPr="00447F6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3 Tekjur af hlutabréfum o.fl. og öðrum eignarhlutum</w:t>
                  </w:r>
                </w:p>
              </w:tc>
            </w:tr>
            <w:tr w:rsidR="008317D6" w:rsidRPr="00447F6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4 Þóknunartekjur o.fl.</w:t>
                  </w:r>
                  <w:r w:rsidRPr="00447F64">
                    <w:rPr>
                      <w:rFonts w:ascii="Arial" w:eastAsia="Times New Roman" w:hAnsi="Arial" w:cs="Arial"/>
                      <w:sz w:val="24"/>
                      <w:szCs w:val="24"/>
                      <w:lang w:eastAsia="is-IS"/>
                    </w:rPr>
                    <w:br/>
                    <w:t>5 Þóknunargjöld</w:t>
                  </w:r>
                </w:p>
              </w:tc>
            </w:tr>
            <w:tr w:rsidR="008317D6" w:rsidRPr="00447F6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6 Gengishagnaður/-tap</w:t>
                  </w:r>
                </w:p>
              </w:tc>
            </w:tr>
            <w:tr w:rsidR="008317D6" w:rsidRPr="00447F6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7 Aðrar rekstrartekjur</w:t>
                  </w:r>
                </w:p>
              </w:tc>
            </w:tr>
          </w:tbl>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Ekki skal draga frá afskriftir eða rekstrarkostnað þegar mælikvarðinn er reiknaður.</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Eftirfarandi liðir skulu ekki teknir með í útreikninginn:</w:t>
            </w:r>
          </w:p>
          <w:p w:rsidR="008317D6" w:rsidRPr="00447F64" w:rsidRDefault="008317D6" w:rsidP="00447F64">
            <w:pPr>
              <w:numPr>
                <w:ilvl w:val="0"/>
                <w:numId w:val="26"/>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Innleystur hagnaður/tap vegna sölu á eignum utan veltubókar, </w:t>
            </w:r>
          </w:p>
          <w:p w:rsidR="008317D6" w:rsidRPr="00447F64" w:rsidRDefault="008317D6" w:rsidP="00447F64">
            <w:pPr>
              <w:numPr>
                <w:ilvl w:val="0"/>
                <w:numId w:val="26"/>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óreglulegar tekjur, </w:t>
            </w:r>
          </w:p>
          <w:p w:rsidR="008317D6" w:rsidRPr="00447F64" w:rsidRDefault="008317D6" w:rsidP="00447F64">
            <w:pPr>
              <w:numPr>
                <w:ilvl w:val="0"/>
                <w:numId w:val="26"/>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tekjur vegna vátryggingastarfsemi.</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Séu matsverðsbreytingar af veltubókarliðum í rekstrarreikningi má taka þær með í útreikninginn.</w:t>
            </w:r>
          </w:p>
          <w:p w:rsidR="008317D6" w:rsidRPr="00447F64" w:rsidRDefault="008317D6" w:rsidP="00E738BF">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42. gr.</w:t>
            </w:r>
          </w:p>
          <w:p w:rsidR="008317D6" w:rsidRPr="00447F64" w:rsidRDefault="008317D6" w:rsidP="00E738BF">
            <w:pPr>
              <w:spacing w:before="100" w:beforeAutospacing="1" w:after="100" w:afterAutospacing="1" w:line="240" w:lineRule="auto"/>
              <w:jc w:val="center"/>
              <w:rPr>
                <w:rFonts w:ascii="Arial" w:eastAsia="Times New Roman" w:hAnsi="Arial" w:cs="Arial"/>
                <w:i/>
                <w:iCs/>
                <w:sz w:val="24"/>
                <w:szCs w:val="24"/>
                <w:lang w:eastAsia="is-IS"/>
              </w:rPr>
            </w:pPr>
            <w:r w:rsidRPr="00447F64">
              <w:rPr>
                <w:rFonts w:ascii="Arial" w:eastAsia="Times New Roman" w:hAnsi="Arial" w:cs="Arial"/>
                <w:i/>
                <w:iCs/>
                <w:sz w:val="24"/>
                <w:szCs w:val="24"/>
                <w:lang w:eastAsia="is-IS"/>
              </w:rPr>
              <w:t>Staðalaðferð (</w:t>
            </w:r>
            <w:proofErr w:type="spellStart"/>
            <w:r w:rsidRPr="00447F64">
              <w:rPr>
                <w:rFonts w:ascii="Arial" w:eastAsia="Times New Roman" w:hAnsi="Arial" w:cs="Arial"/>
                <w:i/>
                <w:iCs/>
                <w:sz w:val="24"/>
                <w:szCs w:val="24"/>
                <w:lang w:eastAsia="is-IS"/>
              </w:rPr>
              <w:t>Standardised</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Approach</w:t>
            </w:r>
            <w:proofErr w:type="spellEnd"/>
            <w:r w:rsidRPr="00447F64">
              <w:rPr>
                <w:rFonts w:ascii="Arial" w:eastAsia="Times New Roman" w:hAnsi="Arial" w:cs="Arial"/>
                <w:i/>
                <w:iCs/>
                <w:sz w:val="24"/>
                <w:szCs w:val="24"/>
                <w:lang w:eastAsia="is-IS"/>
              </w:rPr>
              <w:t>).</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Noti fjármálafyrirtæki staðalaðferð ber að skipta starfseminni í viðskiptasvið í samræmi við eftirfarandi töflu:</w:t>
            </w:r>
          </w:p>
          <w:tbl>
            <w:tblPr>
              <w:tblW w:w="765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83"/>
              <w:gridCol w:w="3733"/>
              <w:gridCol w:w="1234"/>
            </w:tblGrid>
            <w:tr w:rsidR="008317D6" w:rsidRPr="00447F64">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Viðskiptasvið</w:t>
                  </w:r>
                </w:p>
              </w:tc>
              <w:tc>
                <w:tcPr>
                  <w:tcW w:w="250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Starfsemi</w:t>
                  </w:r>
                </w:p>
              </w:tc>
              <w:tc>
                <w:tcPr>
                  <w:tcW w:w="8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Hlutfall</w:t>
                  </w:r>
                </w:p>
              </w:tc>
            </w:tr>
            <w:tr w:rsidR="008317D6" w:rsidRPr="00447F64">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i/>
                      <w:iCs/>
                      <w:sz w:val="24"/>
                      <w:szCs w:val="24"/>
                      <w:lang w:eastAsia="is-IS"/>
                    </w:rPr>
                  </w:pPr>
                  <w:r w:rsidRPr="00447F64">
                    <w:rPr>
                      <w:rFonts w:ascii="Arial" w:eastAsia="Times New Roman" w:hAnsi="Arial" w:cs="Arial"/>
                      <w:sz w:val="24"/>
                      <w:szCs w:val="24"/>
                      <w:lang w:eastAsia="is-IS"/>
                    </w:rPr>
                    <w:t>Fyrirtækjaráðgjöf</w:t>
                  </w:r>
                  <w:r w:rsidRPr="00447F64">
                    <w:rPr>
                      <w:rFonts w:ascii="Arial" w:eastAsia="Times New Roman" w:hAnsi="Arial" w:cs="Arial"/>
                      <w:sz w:val="24"/>
                      <w:szCs w:val="24"/>
                      <w:lang w:eastAsia="is-IS"/>
                    </w:rPr>
                    <w:br/>
                    <w:t>(</w:t>
                  </w:r>
                  <w:r w:rsidRPr="00447F64">
                    <w:rPr>
                      <w:rFonts w:ascii="Arial" w:eastAsia="Times New Roman" w:hAnsi="Arial" w:cs="Arial"/>
                      <w:i/>
                      <w:iCs/>
                      <w:sz w:val="24"/>
                      <w:szCs w:val="24"/>
                      <w:lang w:eastAsia="is-IS"/>
                    </w:rPr>
                    <w:t xml:space="preserve">e. </w:t>
                  </w:r>
                  <w:proofErr w:type="spellStart"/>
                  <w:r w:rsidRPr="00447F64">
                    <w:rPr>
                      <w:rFonts w:ascii="Arial" w:eastAsia="Times New Roman" w:hAnsi="Arial" w:cs="Arial"/>
                      <w:i/>
                      <w:iCs/>
                      <w:sz w:val="24"/>
                      <w:szCs w:val="24"/>
                      <w:lang w:eastAsia="is-IS"/>
                    </w:rPr>
                    <w:t>Corporate</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finance</w:t>
                  </w:r>
                  <w:proofErr w:type="spellEnd"/>
                  <w:r w:rsidRPr="00447F64">
                    <w:rPr>
                      <w:rFonts w:ascii="Arial" w:eastAsia="Times New Roman" w:hAnsi="Arial" w:cs="Arial"/>
                      <w:i/>
                      <w:iCs/>
                      <w:sz w:val="24"/>
                      <w:szCs w:val="24"/>
                      <w:lang w:eastAsia="is-IS"/>
                    </w:rPr>
                    <w:t>)</w:t>
                  </w:r>
                </w:p>
              </w:tc>
              <w:tc>
                <w:tcPr>
                  <w:tcW w:w="250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Sölutrygging í tengslum við útgáfu eins eða fleiri fjármálagerninga eða markaðssetning slíkrar útgáfu.</w:t>
                  </w:r>
                  <w:r w:rsidRPr="00447F64">
                    <w:rPr>
                      <w:rFonts w:ascii="Arial" w:eastAsia="Times New Roman" w:hAnsi="Arial" w:cs="Arial"/>
                      <w:sz w:val="24"/>
                      <w:szCs w:val="24"/>
                      <w:lang w:eastAsia="is-IS"/>
                    </w:rPr>
                    <w:br/>
                    <w:t>Þjónusta tengd sölutryggingu.</w:t>
                  </w:r>
                  <w:r w:rsidRPr="00447F64">
                    <w:rPr>
                      <w:rFonts w:ascii="Arial" w:eastAsia="Times New Roman" w:hAnsi="Arial" w:cs="Arial"/>
                      <w:sz w:val="24"/>
                      <w:szCs w:val="24"/>
                      <w:lang w:eastAsia="is-IS"/>
                    </w:rPr>
                    <w:br/>
                    <w:t>Fjárfestingaráðgjöf.</w:t>
                  </w:r>
                  <w:r w:rsidRPr="00447F64">
                    <w:rPr>
                      <w:rFonts w:ascii="Arial" w:eastAsia="Times New Roman" w:hAnsi="Arial" w:cs="Arial"/>
                      <w:sz w:val="24"/>
                      <w:szCs w:val="24"/>
                      <w:lang w:eastAsia="is-IS"/>
                    </w:rPr>
                    <w:br/>
                    <w:t xml:space="preserve">Ráðgjöf til fyrirtækja um uppbyggingu höfuðstóls, áætlanagerð og skyld mál og ráðgjöf og þjónusta varðandi samruna fyrirtækja og kaup á </w:t>
                  </w:r>
                  <w:r w:rsidRPr="00447F64">
                    <w:rPr>
                      <w:rFonts w:ascii="Arial" w:eastAsia="Times New Roman" w:hAnsi="Arial" w:cs="Arial"/>
                      <w:sz w:val="24"/>
                      <w:szCs w:val="24"/>
                      <w:lang w:eastAsia="is-IS"/>
                    </w:rPr>
                    <w:lastRenderedPageBreak/>
                    <w:t>þeim.</w:t>
                  </w:r>
                  <w:r w:rsidRPr="00447F64">
                    <w:rPr>
                      <w:rFonts w:ascii="Arial" w:eastAsia="Times New Roman" w:hAnsi="Arial" w:cs="Arial"/>
                      <w:sz w:val="24"/>
                      <w:szCs w:val="24"/>
                      <w:lang w:eastAsia="is-IS"/>
                    </w:rPr>
                    <w:br/>
                    <w:t>Greiningadeildir og aðrar tegundir ráð</w:t>
                  </w:r>
                  <w:r w:rsidRPr="00447F64">
                    <w:rPr>
                      <w:rFonts w:ascii="Arial" w:eastAsia="Times New Roman" w:hAnsi="Arial" w:cs="Arial"/>
                      <w:sz w:val="24"/>
                      <w:szCs w:val="24"/>
                      <w:lang w:eastAsia="is-IS"/>
                    </w:rPr>
                    <w:softHyphen/>
                    <w:t>gjafar vegna viðskipta með fjármála</w:t>
                  </w:r>
                  <w:r w:rsidRPr="00447F64">
                    <w:rPr>
                      <w:rFonts w:ascii="Arial" w:eastAsia="Times New Roman" w:hAnsi="Arial" w:cs="Arial"/>
                      <w:sz w:val="24"/>
                      <w:szCs w:val="24"/>
                      <w:lang w:eastAsia="is-IS"/>
                    </w:rPr>
                    <w:softHyphen/>
                    <w:t>gerninga.</w:t>
                  </w:r>
                </w:p>
              </w:tc>
              <w:tc>
                <w:tcPr>
                  <w:tcW w:w="8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lastRenderedPageBreak/>
                    <w:t>18%</w:t>
                  </w:r>
                </w:p>
              </w:tc>
            </w:tr>
            <w:tr w:rsidR="008317D6" w:rsidRPr="00447F64">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i/>
                      <w:iCs/>
                      <w:sz w:val="24"/>
                      <w:szCs w:val="24"/>
                      <w:lang w:eastAsia="is-IS"/>
                    </w:rPr>
                  </w:pPr>
                  <w:r w:rsidRPr="00447F64">
                    <w:rPr>
                      <w:rFonts w:ascii="Arial" w:eastAsia="Times New Roman" w:hAnsi="Arial" w:cs="Arial"/>
                      <w:sz w:val="24"/>
                      <w:szCs w:val="24"/>
                      <w:lang w:eastAsia="is-IS"/>
                    </w:rPr>
                    <w:lastRenderedPageBreak/>
                    <w:t xml:space="preserve">Markaðsviðskipti </w:t>
                  </w:r>
                  <w:r w:rsidRPr="00447F64">
                    <w:rPr>
                      <w:rFonts w:ascii="Arial" w:eastAsia="Times New Roman" w:hAnsi="Arial" w:cs="Arial"/>
                      <w:sz w:val="24"/>
                      <w:szCs w:val="24"/>
                      <w:lang w:eastAsia="is-IS"/>
                    </w:rPr>
                    <w:br/>
                    <w:t>(</w:t>
                  </w:r>
                  <w:r w:rsidRPr="00447F64">
                    <w:rPr>
                      <w:rFonts w:ascii="Arial" w:eastAsia="Times New Roman" w:hAnsi="Arial" w:cs="Arial"/>
                      <w:i/>
                      <w:iCs/>
                      <w:sz w:val="24"/>
                      <w:szCs w:val="24"/>
                      <w:lang w:eastAsia="is-IS"/>
                    </w:rPr>
                    <w:t xml:space="preserve">e. </w:t>
                  </w:r>
                  <w:proofErr w:type="spellStart"/>
                  <w:r w:rsidRPr="00447F64">
                    <w:rPr>
                      <w:rFonts w:ascii="Arial" w:eastAsia="Times New Roman" w:hAnsi="Arial" w:cs="Arial"/>
                      <w:i/>
                      <w:iCs/>
                      <w:sz w:val="24"/>
                      <w:szCs w:val="24"/>
                      <w:lang w:eastAsia="is-IS"/>
                    </w:rPr>
                    <w:t>Trading</w:t>
                  </w:r>
                  <w:proofErr w:type="spellEnd"/>
                  <w:r w:rsidRPr="00447F64">
                    <w:rPr>
                      <w:rFonts w:ascii="Arial" w:eastAsia="Times New Roman" w:hAnsi="Arial" w:cs="Arial"/>
                      <w:i/>
                      <w:iCs/>
                      <w:sz w:val="24"/>
                      <w:szCs w:val="24"/>
                      <w:lang w:eastAsia="is-IS"/>
                    </w:rPr>
                    <w:t xml:space="preserve"> and </w:t>
                  </w:r>
                  <w:proofErr w:type="spellStart"/>
                  <w:r w:rsidRPr="00447F64">
                    <w:rPr>
                      <w:rFonts w:ascii="Arial" w:eastAsia="Times New Roman" w:hAnsi="Arial" w:cs="Arial"/>
                      <w:i/>
                      <w:iCs/>
                      <w:sz w:val="24"/>
                      <w:szCs w:val="24"/>
                      <w:lang w:eastAsia="is-IS"/>
                    </w:rPr>
                    <w:t>sales</w:t>
                  </w:r>
                  <w:proofErr w:type="spellEnd"/>
                  <w:r w:rsidRPr="00447F64">
                    <w:rPr>
                      <w:rFonts w:ascii="Arial" w:eastAsia="Times New Roman" w:hAnsi="Arial" w:cs="Arial"/>
                      <w:i/>
                      <w:iCs/>
                      <w:sz w:val="24"/>
                      <w:szCs w:val="24"/>
                      <w:lang w:eastAsia="is-IS"/>
                    </w:rPr>
                    <w:t>)</w:t>
                  </w:r>
                </w:p>
              </w:tc>
              <w:tc>
                <w:tcPr>
                  <w:tcW w:w="250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Eigin viðskipti.</w:t>
                  </w:r>
                  <w:r w:rsidRPr="00447F64">
                    <w:rPr>
                      <w:rFonts w:ascii="Arial" w:eastAsia="Times New Roman" w:hAnsi="Arial" w:cs="Arial"/>
                      <w:sz w:val="24"/>
                      <w:szCs w:val="24"/>
                      <w:lang w:eastAsia="is-IS"/>
                    </w:rPr>
                    <w:br/>
                    <w:t>Peningamiðlun.</w:t>
                  </w:r>
                  <w:r w:rsidRPr="00447F64">
                    <w:rPr>
                      <w:rFonts w:ascii="Arial" w:eastAsia="Times New Roman" w:hAnsi="Arial" w:cs="Arial"/>
                      <w:sz w:val="24"/>
                      <w:szCs w:val="24"/>
                      <w:lang w:eastAsia="is-IS"/>
                    </w:rPr>
                    <w:br/>
                    <w:t>Móttaka og miðlun fyrirmæla um einn eða fleiri fjármálagerninga.</w:t>
                  </w:r>
                  <w:r w:rsidRPr="00447F64">
                    <w:rPr>
                      <w:rFonts w:ascii="Arial" w:eastAsia="Times New Roman" w:hAnsi="Arial" w:cs="Arial"/>
                      <w:sz w:val="24"/>
                      <w:szCs w:val="24"/>
                      <w:lang w:eastAsia="is-IS"/>
                    </w:rPr>
                    <w:br/>
                    <w:t>Framkvæmd fyrirmæla viðskiptavina.</w:t>
                  </w:r>
                  <w:r w:rsidRPr="00447F64">
                    <w:rPr>
                      <w:rFonts w:ascii="Arial" w:eastAsia="Times New Roman" w:hAnsi="Arial" w:cs="Arial"/>
                      <w:sz w:val="24"/>
                      <w:szCs w:val="24"/>
                      <w:lang w:eastAsia="is-IS"/>
                    </w:rPr>
                    <w:br/>
                    <w:t>Umsjón með útboði verðbréfa.</w:t>
                  </w:r>
                  <w:r w:rsidRPr="00447F64">
                    <w:rPr>
                      <w:rFonts w:ascii="Arial" w:eastAsia="Times New Roman" w:hAnsi="Arial" w:cs="Arial"/>
                      <w:sz w:val="24"/>
                      <w:szCs w:val="24"/>
                      <w:lang w:eastAsia="is-IS"/>
                    </w:rPr>
                    <w:br/>
                    <w:t>Rekstur marghliða viðskiptakerfa.</w:t>
                  </w:r>
                </w:p>
              </w:tc>
              <w:tc>
                <w:tcPr>
                  <w:tcW w:w="8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18%</w:t>
                  </w:r>
                </w:p>
              </w:tc>
            </w:tr>
            <w:tr w:rsidR="008317D6" w:rsidRPr="00447F64">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Verðbréfamiðlun (smásala)</w:t>
                  </w:r>
                  <w:r w:rsidRPr="00447F64">
                    <w:rPr>
                      <w:rFonts w:ascii="Arial" w:eastAsia="Times New Roman" w:hAnsi="Arial" w:cs="Arial"/>
                      <w:sz w:val="24"/>
                      <w:szCs w:val="24"/>
                      <w:lang w:eastAsia="is-IS"/>
                    </w:rPr>
                    <w:br/>
                    <w:t>(Starfsemi sem snýr að einstaklingum eða litlum og meðalstórum fyrirtækjum sem uppfylla skilyrði 17. gr.)</w:t>
                  </w:r>
                </w:p>
              </w:tc>
              <w:tc>
                <w:tcPr>
                  <w:tcW w:w="250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Móttaka og miðlun fyrirmæla um einn eða fleiri fjármálagerninga.</w:t>
                  </w:r>
                  <w:r w:rsidRPr="00447F64">
                    <w:rPr>
                      <w:rFonts w:ascii="Arial" w:eastAsia="Times New Roman" w:hAnsi="Arial" w:cs="Arial"/>
                      <w:sz w:val="24"/>
                      <w:szCs w:val="24"/>
                      <w:lang w:eastAsia="is-IS"/>
                    </w:rPr>
                    <w:br/>
                    <w:t>Framkvæmd fyrirmæla viðskiptavina.</w:t>
                  </w:r>
                  <w:r w:rsidRPr="00447F64">
                    <w:rPr>
                      <w:rFonts w:ascii="Arial" w:eastAsia="Times New Roman" w:hAnsi="Arial" w:cs="Arial"/>
                      <w:sz w:val="24"/>
                      <w:szCs w:val="24"/>
                      <w:lang w:eastAsia="is-IS"/>
                    </w:rPr>
                    <w:br/>
                    <w:t>Umsjón með útboði verðbréfa.</w:t>
                  </w:r>
                </w:p>
              </w:tc>
              <w:tc>
                <w:tcPr>
                  <w:tcW w:w="8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12%</w:t>
                  </w:r>
                </w:p>
              </w:tc>
            </w:tr>
            <w:tr w:rsidR="008317D6" w:rsidRPr="00447F64">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Viðskiptabankastarfsemi (heildsala)</w:t>
                  </w:r>
                </w:p>
              </w:tc>
              <w:tc>
                <w:tcPr>
                  <w:tcW w:w="250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Móttaka innlána og endurgreiðanlegra fjármuna.</w:t>
                  </w:r>
                  <w:r w:rsidRPr="00447F64">
                    <w:rPr>
                      <w:rFonts w:ascii="Arial" w:eastAsia="Times New Roman" w:hAnsi="Arial" w:cs="Arial"/>
                      <w:sz w:val="24"/>
                      <w:szCs w:val="24"/>
                      <w:lang w:eastAsia="is-IS"/>
                    </w:rPr>
                    <w:br/>
                    <w:t>Veiting útlána.</w:t>
                  </w:r>
                  <w:r w:rsidRPr="00447F64">
                    <w:rPr>
                      <w:rFonts w:ascii="Arial" w:eastAsia="Times New Roman" w:hAnsi="Arial" w:cs="Arial"/>
                      <w:sz w:val="24"/>
                      <w:szCs w:val="24"/>
                      <w:lang w:eastAsia="is-IS"/>
                    </w:rPr>
                    <w:br/>
                    <w:t>Fjármögnunarleiga.</w:t>
                  </w:r>
                  <w:r w:rsidRPr="00447F64">
                    <w:rPr>
                      <w:rFonts w:ascii="Arial" w:eastAsia="Times New Roman" w:hAnsi="Arial" w:cs="Arial"/>
                      <w:sz w:val="24"/>
                      <w:szCs w:val="24"/>
                      <w:lang w:eastAsia="is-IS"/>
                    </w:rPr>
                    <w:br/>
                    <w:t>Veita ábyrgðir og tryggingar.</w:t>
                  </w:r>
                </w:p>
              </w:tc>
              <w:tc>
                <w:tcPr>
                  <w:tcW w:w="8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15%</w:t>
                  </w:r>
                </w:p>
              </w:tc>
            </w:tr>
            <w:tr w:rsidR="008317D6" w:rsidRPr="00447F64">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Viðskiptabankastarfsemi (smásala)</w:t>
                  </w:r>
                  <w:r w:rsidRPr="00447F64">
                    <w:rPr>
                      <w:rFonts w:ascii="Arial" w:eastAsia="Times New Roman" w:hAnsi="Arial" w:cs="Arial"/>
                      <w:sz w:val="24"/>
                      <w:szCs w:val="24"/>
                      <w:lang w:eastAsia="is-IS"/>
                    </w:rPr>
                    <w:br/>
                    <w:t>(Starfsemi sem snýr að einstaklingum eða litlum og meðalstórum fyrirtækjum sem uppfylla skilyrði 17. gr.)</w:t>
                  </w:r>
                </w:p>
              </w:tc>
              <w:tc>
                <w:tcPr>
                  <w:tcW w:w="250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Móttaka innlána og endurgreiðanlegra fjármuna.</w:t>
                  </w:r>
                  <w:r w:rsidRPr="00447F64">
                    <w:rPr>
                      <w:rFonts w:ascii="Arial" w:eastAsia="Times New Roman" w:hAnsi="Arial" w:cs="Arial"/>
                      <w:sz w:val="24"/>
                      <w:szCs w:val="24"/>
                      <w:lang w:eastAsia="is-IS"/>
                    </w:rPr>
                    <w:br/>
                    <w:t>Veiting útlána</w:t>
                  </w:r>
                  <w:r w:rsidRPr="00447F64">
                    <w:rPr>
                      <w:rFonts w:ascii="Arial" w:eastAsia="Times New Roman" w:hAnsi="Arial" w:cs="Arial"/>
                      <w:sz w:val="24"/>
                      <w:szCs w:val="24"/>
                      <w:lang w:eastAsia="is-IS"/>
                    </w:rPr>
                    <w:br/>
                    <w:t>Fjármögnunarleiga</w:t>
                  </w:r>
                  <w:r w:rsidRPr="00447F64">
                    <w:rPr>
                      <w:rFonts w:ascii="Arial" w:eastAsia="Times New Roman" w:hAnsi="Arial" w:cs="Arial"/>
                      <w:sz w:val="24"/>
                      <w:szCs w:val="24"/>
                      <w:lang w:eastAsia="is-IS"/>
                    </w:rPr>
                    <w:br/>
                    <w:t>Veita ábyrgðir og tryggingar</w:t>
                  </w:r>
                </w:p>
              </w:tc>
              <w:tc>
                <w:tcPr>
                  <w:tcW w:w="8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12%</w:t>
                  </w:r>
                </w:p>
              </w:tc>
            </w:tr>
            <w:tr w:rsidR="008317D6" w:rsidRPr="00447F64">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Greiðslu- og uppgjörsþjónusta</w:t>
                  </w:r>
                </w:p>
              </w:tc>
              <w:tc>
                <w:tcPr>
                  <w:tcW w:w="250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Þjónusta við millifærslu peninga</w:t>
                  </w:r>
                  <w:r w:rsidRPr="00447F64">
                    <w:rPr>
                      <w:rFonts w:ascii="Arial" w:eastAsia="Times New Roman" w:hAnsi="Arial" w:cs="Arial"/>
                      <w:sz w:val="24"/>
                      <w:szCs w:val="24"/>
                      <w:lang w:eastAsia="is-IS"/>
                    </w:rPr>
                    <w:br/>
                    <w:t>Útgáfa og umsýsla greiðslumiðla</w:t>
                  </w:r>
                </w:p>
              </w:tc>
              <w:tc>
                <w:tcPr>
                  <w:tcW w:w="8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18%</w:t>
                  </w:r>
                </w:p>
              </w:tc>
            </w:tr>
            <w:tr w:rsidR="008317D6" w:rsidRPr="00447F64">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Umboðsþjónusta</w:t>
                  </w:r>
                </w:p>
              </w:tc>
              <w:tc>
                <w:tcPr>
                  <w:tcW w:w="250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Varsla og umsýsla fjármálagerninga fyrir viðskiptavini þ.m.t. forræði og tengd þjónusta s.s. stýring lausafjár og trygginga/veða</w:t>
                  </w:r>
                </w:p>
              </w:tc>
              <w:tc>
                <w:tcPr>
                  <w:tcW w:w="8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15%</w:t>
                  </w:r>
                </w:p>
              </w:tc>
            </w:tr>
            <w:tr w:rsidR="008317D6" w:rsidRPr="00447F64">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Eignastýring</w:t>
                  </w:r>
                </w:p>
              </w:tc>
              <w:tc>
                <w:tcPr>
                  <w:tcW w:w="250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Stýring eignasafna</w:t>
                  </w:r>
                  <w:r w:rsidRPr="00447F64">
                    <w:rPr>
                      <w:rFonts w:ascii="Arial" w:eastAsia="Times New Roman" w:hAnsi="Arial" w:cs="Arial"/>
                      <w:sz w:val="24"/>
                      <w:szCs w:val="24"/>
                      <w:lang w:eastAsia="is-IS"/>
                    </w:rPr>
                    <w:br/>
                    <w:t>Stýring verðbréfasjóða (UCITS)</w:t>
                  </w:r>
                  <w:r w:rsidRPr="00447F64">
                    <w:rPr>
                      <w:rFonts w:ascii="Arial" w:eastAsia="Times New Roman" w:hAnsi="Arial" w:cs="Arial"/>
                      <w:sz w:val="24"/>
                      <w:szCs w:val="24"/>
                      <w:lang w:eastAsia="is-IS"/>
                    </w:rPr>
                    <w:br/>
                    <w:t>Önnur eignastýring</w:t>
                  </w:r>
                </w:p>
              </w:tc>
              <w:tc>
                <w:tcPr>
                  <w:tcW w:w="850" w:type="pct"/>
                  <w:tcBorders>
                    <w:top w:val="outset" w:sz="6" w:space="0" w:color="auto"/>
                    <w:left w:val="outset" w:sz="6" w:space="0" w:color="auto"/>
                    <w:bottom w:val="outset" w:sz="6" w:space="0" w:color="auto"/>
                    <w:right w:val="outset" w:sz="6" w:space="0" w:color="auto"/>
                  </w:tcBorders>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12%</w:t>
                  </w:r>
                </w:p>
              </w:tc>
            </w:tr>
          </w:tbl>
          <w:p w:rsidR="00786B63" w:rsidRPr="00447F64" w:rsidRDefault="00B576B9"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w:t>
            </w:r>
            <w:r w:rsidR="00786B63" w:rsidRPr="00447F64">
              <w:rPr>
                <w:rFonts w:ascii="Arial" w:eastAsia="Times New Roman" w:hAnsi="Arial" w:cs="Arial"/>
                <w:sz w:val="24"/>
                <w:szCs w:val="24"/>
                <w:lang w:eastAsia="is-IS"/>
              </w:rPr>
              <w:t>Reikna skal eiginfjárkröfu vegna rekstraráhættu sem þriggja ára meðaltal árlegra sam</w:t>
            </w:r>
            <w:r w:rsidR="00786B63" w:rsidRPr="00447F64">
              <w:rPr>
                <w:rFonts w:ascii="Arial" w:eastAsia="Times New Roman" w:hAnsi="Arial" w:cs="Arial"/>
                <w:sz w:val="24"/>
                <w:szCs w:val="24"/>
                <w:lang w:eastAsia="is-IS"/>
              </w:rPr>
              <w:softHyphen/>
              <w:t>tala eiginfjárkrafna eftir viðskiptasviðum sem getið er í ofangreindri töflu. Á hverju ári er heimilt að jafna neikvæðar eiginfjárkröfur, á hvaða viðskiptasviði sem er, við jákvæðar eiginfjárkröfur á öðrum viðskiptasviðum án takmarkana. Sé samanlögð eiginfjár</w:t>
            </w:r>
            <w:r w:rsidR="00786B63" w:rsidRPr="00447F64">
              <w:rPr>
                <w:rFonts w:ascii="Arial" w:eastAsia="Times New Roman" w:hAnsi="Arial" w:cs="Arial"/>
                <w:sz w:val="24"/>
                <w:szCs w:val="24"/>
                <w:lang w:eastAsia="is-IS"/>
              </w:rPr>
              <w:softHyphen/>
              <w:t>krafa á öllum viðskiptasviðum innan ákveðins árs neikvæð skal virðið fyrir það ár sem notað er í útreikningunum vera jafnt og núll.</w:t>
            </w:r>
          </w:p>
          <w:p w:rsidR="00786B63" w:rsidRPr="00447F64" w:rsidRDefault="00786B63"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lastRenderedPageBreak/>
              <w:t>Viðeigandi mælikvarði er meðaltal samtölu hreinna vaxtatekna og annarra rekstrartekna síðustu þriggja reikningsára (þrjú 12 mánaða tímabil) fyrir hvert viðskiptasvið. Séu endur</w:t>
            </w:r>
            <w:r w:rsidRPr="00447F64">
              <w:rPr>
                <w:rFonts w:ascii="Arial" w:eastAsia="Times New Roman" w:hAnsi="Arial" w:cs="Arial"/>
                <w:sz w:val="24"/>
                <w:szCs w:val="24"/>
                <w:lang w:eastAsia="is-IS"/>
              </w:rPr>
              <w:softHyphen/>
              <w:t>skoðaðar tölur ekki tiltækar má nota áætlun.</w:t>
            </w:r>
            <w:r w:rsidR="00B576B9" w:rsidRPr="00447F64">
              <w:rPr>
                <w:rFonts w:ascii="Arial" w:eastAsia="Times New Roman" w:hAnsi="Arial" w:cs="Arial"/>
                <w:sz w:val="24"/>
                <w:szCs w:val="24"/>
                <w:lang w:eastAsia="is-IS"/>
              </w:rPr>
              <w:t>]</w:t>
            </w:r>
            <w:r w:rsidR="00B576B9" w:rsidRPr="00447F64">
              <w:rPr>
                <w:rStyle w:val="FootnoteReference"/>
                <w:rFonts w:ascii="Arial" w:eastAsia="Times New Roman" w:hAnsi="Arial" w:cs="Arial"/>
                <w:sz w:val="24"/>
                <w:szCs w:val="24"/>
                <w:lang w:eastAsia="is-IS"/>
              </w:rPr>
              <w:footnoteReference w:id="28"/>
            </w:r>
          </w:p>
          <w:p w:rsidR="008317D6" w:rsidRPr="00447F64" w:rsidRDefault="008317D6" w:rsidP="00E738BF">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43. gr.</w:t>
            </w:r>
          </w:p>
          <w:p w:rsidR="008317D6" w:rsidRPr="00447F64" w:rsidRDefault="008317D6" w:rsidP="00E738BF">
            <w:pPr>
              <w:spacing w:before="100" w:beforeAutospacing="1" w:after="100" w:afterAutospacing="1" w:line="240" w:lineRule="auto"/>
              <w:jc w:val="center"/>
              <w:rPr>
                <w:rFonts w:ascii="Arial" w:eastAsia="Times New Roman" w:hAnsi="Arial" w:cs="Arial"/>
                <w:i/>
                <w:iCs/>
                <w:sz w:val="24"/>
                <w:szCs w:val="24"/>
                <w:lang w:eastAsia="is-IS"/>
              </w:rPr>
            </w:pPr>
            <w:r w:rsidRPr="00447F64">
              <w:rPr>
                <w:rFonts w:ascii="Arial" w:eastAsia="Times New Roman" w:hAnsi="Arial" w:cs="Arial"/>
                <w:i/>
                <w:iCs/>
                <w:sz w:val="24"/>
                <w:szCs w:val="24"/>
                <w:lang w:eastAsia="is-IS"/>
              </w:rPr>
              <w:t>Meginreglur kortlagningar viðskiptasviða.</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Fjármálafyrirtæki þarf að uppfylla skilyrði um kortlagningu viðskiptasviða til að mega nota staðalaðferð við útreikning á eigin fé vegna rekstraráhættu.</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Fjármálafyrirtæki þurfa að þróa og skjalfesta sértækar reglur og viðmið við kortlagningu viðeigandi mælikvarða fyrir núverandi viðskiptasvið og starfsemi innan ramma staðal</w:t>
            </w:r>
            <w:r w:rsidRPr="00447F64">
              <w:rPr>
                <w:rFonts w:ascii="Arial" w:eastAsia="Times New Roman" w:hAnsi="Arial" w:cs="Arial"/>
                <w:sz w:val="24"/>
                <w:szCs w:val="24"/>
                <w:lang w:eastAsia="is-IS"/>
              </w:rPr>
              <w:softHyphen/>
              <w:t>aðferðar. Viðmið þessi þarf að endurskoða og aðlaga fyrir breytta og/eða nýja starfsemi og áhættur. Meginreglur fyrir kortlagningu viðskiptasviða eru eftirfarandi:</w:t>
            </w:r>
          </w:p>
          <w:p w:rsidR="008317D6" w:rsidRPr="00447F64" w:rsidRDefault="008317D6" w:rsidP="00447F64">
            <w:pPr>
              <w:numPr>
                <w:ilvl w:val="0"/>
                <w:numId w:val="27"/>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Kortleggja þarf alla starfsemi ítarlega undir viðskiptasvið og án þess að þau skarist, </w:t>
            </w:r>
          </w:p>
          <w:p w:rsidR="008317D6" w:rsidRPr="00447F64" w:rsidRDefault="008317D6" w:rsidP="00447F64">
            <w:pPr>
              <w:numPr>
                <w:ilvl w:val="0"/>
                <w:numId w:val="27"/>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starfsemi sem ekki fellur beint undir viðskiptasvið, en sem telst stoðþáttur við ákveðið viðskiptasvið skal falla undir það viðskiptasvið sem það styður. Ef stoðþáttur styður við fleiri viðskiptasvið ber að nota hlutlæg viðmið, </w:t>
            </w:r>
          </w:p>
          <w:p w:rsidR="008317D6" w:rsidRPr="00447F64" w:rsidRDefault="008317D6" w:rsidP="00447F64">
            <w:pPr>
              <w:numPr>
                <w:ilvl w:val="0"/>
                <w:numId w:val="27"/>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ef ekki er hægt að kortleggja ákveðna starfsemi undir viðskiptasvið skal nota það hlutfall viðskiptasviðs sem er hæst, sama gildir um viðkomandi stoðþætti, </w:t>
            </w:r>
          </w:p>
          <w:p w:rsidR="008317D6" w:rsidRPr="00447F64" w:rsidRDefault="008317D6" w:rsidP="00447F64">
            <w:pPr>
              <w:numPr>
                <w:ilvl w:val="0"/>
                <w:numId w:val="27"/>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fjármálafyrirtæki mega millifæra kostnað milli viðskiptasviða ef hann er talinn tilheyra öðru sviði, </w:t>
            </w:r>
          </w:p>
          <w:p w:rsidR="008317D6" w:rsidRPr="00447F64" w:rsidRDefault="008317D6" w:rsidP="00447F64">
            <w:pPr>
              <w:numPr>
                <w:ilvl w:val="0"/>
                <w:numId w:val="27"/>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kortlagning starfsemi undir viðskiptasvið fyrir eiginfjárkröfu vegna rekstaráhættu skal vera í samræmi við flokka sem notaðir eru vegna útlána- og markaðsáhættu, </w:t>
            </w:r>
          </w:p>
          <w:p w:rsidR="008317D6" w:rsidRPr="00447F64" w:rsidRDefault="008317D6" w:rsidP="00447F64">
            <w:pPr>
              <w:numPr>
                <w:ilvl w:val="0"/>
                <w:numId w:val="27"/>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stjórnendur eru ábyrgir fyrir reglum um kortlagningu, og </w:t>
            </w:r>
          </w:p>
          <w:p w:rsidR="008317D6" w:rsidRPr="00447F64" w:rsidRDefault="008317D6" w:rsidP="00447F64">
            <w:pPr>
              <w:numPr>
                <w:ilvl w:val="0"/>
                <w:numId w:val="27"/>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kortlagningin þarf að standast óháð endurmat.</w:t>
            </w:r>
          </w:p>
          <w:p w:rsidR="008317D6" w:rsidRPr="00447F64" w:rsidRDefault="008317D6" w:rsidP="00E738BF">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44. gr.</w:t>
            </w:r>
          </w:p>
          <w:p w:rsidR="008317D6" w:rsidRPr="00447F64" w:rsidRDefault="008317D6" w:rsidP="00E738BF">
            <w:pPr>
              <w:spacing w:before="100" w:beforeAutospacing="1" w:after="100" w:afterAutospacing="1" w:line="240" w:lineRule="auto"/>
              <w:jc w:val="center"/>
              <w:rPr>
                <w:rFonts w:ascii="Arial" w:eastAsia="Times New Roman" w:hAnsi="Arial" w:cs="Arial"/>
                <w:i/>
                <w:iCs/>
                <w:sz w:val="24"/>
                <w:szCs w:val="24"/>
                <w:lang w:eastAsia="is-IS"/>
              </w:rPr>
            </w:pPr>
            <w:r w:rsidRPr="00447F64">
              <w:rPr>
                <w:rFonts w:ascii="Arial" w:eastAsia="Times New Roman" w:hAnsi="Arial" w:cs="Arial"/>
                <w:i/>
                <w:iCs/>
                <w:sz w:val="24"/>
                <w:szCs w:val="24"/>
                <w:lang w:eastAsia="is-IS"/>
              </w:rPr>
              <w:t>Aðrir mælikvarðar fyrir viðskiptabankastarfsemi.</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Fjármálaeftirlitið getur heimilað að notaðir séu aðrir mælikvarðar en áður eru tilgreindir fyrir viðskiptabankastarfsemi.</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Fyrir þessi viðskiptasvið skal viðkomandi mælikvarði vera samræmdur/staðlaður tekju</w:t>
            </w:r>
            <w:r w:rsidRPr="00447F64">
              <w:rPr>
                <w:rFonts w:ascii="Arial" w:eastAsia="Times New Roman" w:hAnsi="Arial" w:cs="Arial"/>
                <w:sz w:val="24"/>
                <w:szCs w:val="24"/>
                <w:lang w:eastAsia="is-IS"/>
              </w:rPr>
              <w:softHyphen/>
              <w:t>kvarði sem jafngildir þriggja ára meðaltali heildarnafnverðs lána og fyrirfram</w:t>
            </w:r>
            <w:r w:rsidRPr="00447F64">
              <w:rPr>
                <w:rFonts w:ascii="Arial" w:eastAsia="Times New Roman" w:hAnsi="Arial" w:cs="Arial"/>
                <w:sz w:val="24"/>
                <w:szCs w:val="24"/>
                <w:lang w:eastAsia="is-IS"/>
              </w:rPr>
              <w:softHyphen/>
              <w:t>greiðslna margfölduðu með 0,035.</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Fyrir heildsölu- og/eða smásöluhluta viðskiptabankastarfseminnar skulu lán og fyrir</w:t>
            </w:r>
            <w:r w:rsidRPr="00447F64">
              <w:rPr>
                <w:rFonts w:ascii="Arial" w:eastAsia="Times New Roman" w:hAnsi="Arial" w:cs="Arial"/>
                <w:sz w:val="24"/>
                <w:szCs w:val="24"/>
                <w:lang w:eastAsia="is-IS"/>
              </w:rPr>
              <w:softHyphen/>
              <w:t>fram</w:t>
            </w:r>
            <w:r w:rsidRPr="00447F64">
              <w:rPr>
                <w:rFonts w:ascii="Arial" w:eastAsia="Times New Roman" w:hAnsi="Arial" w:cs="Arial"/>
                <w:sz w:val="24"/>
                <w:szCs w:val="24"/>
                <w:lang w:eastAsia="is-IS"/>
              </w:rPr>
              <w:softHyphen/>
              <w:t>greiðslur vera ádregnar fjárhæðir í viðkomandi lánasöfnum. Verðbréfastöður utan veltubókar skulu teknar með í heildsöluhluta viðskiptabankastarfsemi.</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lastRenderedPageBreak/>
              <w:t>Skilyrði þess að nota megi aðra mælikvarða eru:</w:t>
            </w:r>
          </w:p>
          <w:p w:rsidR="008317D6" w:rsidRPr="00447F64" w:rsidRDefault="008317D6" w:rsidP="00447F64">
            <w:pPr>
              <w:numPr>
                <w:ilvl w:val="0"/>
                <w:numId w:val="28"/>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Að meginstarfsemi fjármálafyrirtækisins er viðskiptabankastarfsemi og a.m.k. 90% af tekjunum eru á því sviði. </w:t>
            </w:r>
          </w:p>
          <w:p w:rsidR="008317D6" w:rsidRPr="00447F64" w:rsidRDefault="008317D6" w:rsidP="00447F64">
            <w:pPr>
              <w:numPr>
                <w:ilvl w:val="0"/>
                <w:numId w:val="28"/>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Fjármálafyrirtækið þarf að sýna Fjármálaeftirlitinu fram á að verulegur hluti starfseminnar nái yfir útlán með háum líkum á vanefndum (PD) og að aðrir mælikvarðar en notaðir eru með staðalaðferð gefi betra mat á rekstraráhættu, </w:t>
            </w:r>
          </w:p>
          <w:p w:rsidR="008317D6" w:rsidRPr="00447F64" w:rsidRDefault="008317D6" w:rsidP="00447F64">
            <w:pPr>
              <w:numPr>
                <w:ilvl w:val="0"/>
                <w:numId w:val="28"/>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Fjármálafyrirtækið þarf að uppfylla skilyrði 45. gr.</w:t>
            </w:r>
          </w:p>
          <w:p w:rsidR="008317D6" w:rsidRPr="00447F64" w:rsidRDefault="008317D6" w:rsidP="00E738BF">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45. gr.</w:t>
            </w:r>
          </w:p>
          <w:p w:rsidR="008317D6" w:rsidRPr="00447F64" w:rsidRDefault="008317D6" w:rsidP="00E738BF">
            <w:pPr>
              <w:spacing w:before="100" w:beforeAutospacing="1" w:after="100" w:afterAutospacing="1" w:line="240" w:lineRule="auto"/>
              <w:jc w:val="center"/>
              <w:rPr>
                <w:rFonts w:ascii="Arial" w:eastAsia="Times New Roman" w:hAnsi="Arial" w:cs="Arial"/>
                <w:i/>
                <w:iCs/>
                <w:sz w:val="24"/>
                <w:szCs w:val="24"/>
                <w:lang w:eastAsia="is-IS"/>
              </w:rPr>
            </w:pPr>
            <w:r w:rsidRPr="00447F64">
              <w:rPr>
                <w:rFonts w:ascii="Arial" w:eastAsia="Times New Roman" w:hAnsi="Arial" w:cs="Arial"/>
                <w:i/>
                <w:iCs/>
                <w:sz w:val="24"/>
                <w:szCs w:val="24"/>
                <w:lang w:eastAsia="is-IS"/>
              </w:rPr>
              <w:t>Skilyrði fyrir notkun staðalaðferðar vegna rekstraráhættu.</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Fjármálafyrirtæki þurfa að uppfylla almenn skilyrði um áhættustýringu í samræmi við stærð og hlutfallslegt mikilvægi þess, en auk þess:</w:t>
            </w:r>
          </w:p>
          <w:p w:rsidR="008317D6" w:rsidRPr="00447F64" w:rsidRDefault="008317D6" w:rsidP="00447F64">
            <w:pPr>
              <w:numPr>
                <w:ilvl w:val="0"/>
                <w:numId w:val="29"/>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þurfa vel skjalfest kerfi að vera til staðar til að meta og stjórna rekstraráhættu þar sem ábyrgð er vel skilgreind. Kerfið þarf að bera kennsl á áhrif af rekstraráhættu og það þarf að vera hægt að rekja viðeigandi gögn vegna rekstraráhættu þ.m.t. gögn um verulegt tap. Kerfið þarf að standast óháð mat. </w:t>
            </w:r>
          </w:p>
          <w:p w:rsidR="008317D6" w:rsidRPr="00447F64" w:rsidRDefault="008317D6" w:rsidP="00447F64">
            <w:pPr>
              <w:numPr>
                <w:ilvl w:val="0"/>
                <w:numId w:val="29"/>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þarf að samþætta kerfið vegna rekstraráhættu við áhættustýringu fjár</w:t>
            </w:r>
            <w:r w:rsidRPr="00447F64">
              <w:rPr>
                <w:rFonts w:ascii="Arial" w:eastAsia="Times New Roman" w:hAnsi="Arial" w:cs="Arial"/>
                <w:sz w:val="24"/>
                <w:szCs w:val="24"/>
                <w:lang w:eastAsia="is-IS"/>
              </w:rPr>
              <w:softHyphen/>
              <w:t>mála</w:t>
            </w:r>
            <w:r w:rsidRPr="00447F64">
              <w:rPr>
                <w:rFonts w:ascii="Arial" w:eastAsia="Times New Roman" w:hAnsi="Arial" w:cs="Arial"/>
                <w:sz w:val="24"/>
                <w:szCs w:val="24"/>
                <w:lang w:eastAsia="is-IS"/>
              </w:rPr>
              <w:softHyphen/>
              <w:t>fyrirtækisins og niðurstöður úr því þurfa að gefa skýra mynd af rekstrar</w:t>
            </w:r>
            <w:r w:rsidRPr="00447F64">
              <w:rPr>
                <w:rFonts w:ascii="Arial" w:eastAsia="Times New Roman" w:hAnsi="Arial" w:cs="Arial"/>
                <w:sz w:val="24"/>
                <w:szCs w:val="24"/>
                <w:lang w:eastAsia="is-IS"/>
              </w:rPr>
              <w:softHyphen/>
              <w:t xml:space="preserve">áhættu fjármálafyrirtækisins. </w:t>
            </w:r>
          </w:p>
          <w:p w:rsidR="008317D6" w:rsidRPr="00447F64" w:rsidRDefault="008317D6" w:rsidP="00447F64">
            <w:pPr>
              <w:numPr>
                <w:ilvl w:val="0"/>
                <w:numId w:val="29"/>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þurfa kerfi að vera til staðar sem skila upplýsingum til viðeigandi ábyrgðaraðila innan stofnunarinnar. Einnig þurfa að vera til staðar ferlar til að bregðast við þeim upplýsingum.</w:t>
            </w:r>
          </w:p>
          <w:p w:rsidR="008317D6" w:rsidRPr="00447F64" w:rsidRDefault="008317D6" w:rsidP="00E738BF">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46. gr.</w:t>
            </w:r>
          </w:p>
          <w:p w:rsidR="008317D6" w:rsidRPr="00447F64" w:rsidRDefault="008317D6" w:rsidP="00E738BF">
            <w:pPr>
              <w:spacing w:before="100" w:beforeAutospacing="1" w:after="100" w:afterAutospacing="1" w:line="240" w:lineRule="auto"/>
              <w:jc w:val="center"/>
              <w:rPr>
                <w:rFonts w:ascii="Arial" w:eastAsia="Times New Roman" w:hAnsi="Arial" w:cs="Arial"/>
                <w:i/>
                <w:iCs/>
                <w:sz w:val="24"/>
                <w:szCs w:val="24"/>
                <w:lang w:eastAsia="is-IS"/>
              </w:rPr>
            </w:pPr>
            <w:r w:rsidRPr="00447F64">
              <w:rPr>
                <w:rFonts w:ascii="Arial" w:eastAsia="Times New Roman" w:hAnsi="Arial" w:cs="Arial"/>
                <w:i/>
                <w:iCs/>
                <w:sz w:val="24"/>
                <w:szCs w:val="24"/>
                <w:lang w:eastAsia="is-IS"/>
              </w:rPr>
              <w:t>Þróuð mæliaðferð (</w:t>
            </w:r>
            <w:proofErr w:type="spellStart"/>
            <w:r w:rsidRPr="00447F64">
              <w:rPr>
                <w:rFonts w:ascii="Arial" w:eastAsia="Times New Roman" w:hAnsi="Arial" w:cs="Arial"/>
                <w:i/>
                <w:iCs/>
                <w:sz w:val="24"/>
                <w:szCs w:val="24"/>
                <w:lang w:eastAsia="is-IS"/>
              </w:rPr>
              <w:t>Advanced</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Measurement</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Approach</w:t>
            </w:r>
            <w:proofErr w:type="spellEnd"/>
            <w:r w:rsidRPr="00447F64">
              <w:rPr>
                <w:rFonts w:ascii="Arial" w:eastAsia="Times New Roman" w:hAnsi="Arial" w:cs="Arial"/>
                <w:i/>
                <w:iCs/>
                <w:sz w:val="24"/>
                <w:szCs w:val="24"/>
                <w:lang w:eastAsia="is-IS"/>
              </w:rPr>
              <w:t>).</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Fjármálaeftirlitið getur veitt leyfi til að nota þróaðar mæliaðferðir sem byggja á áhættumatskerfum fjármálafyrirtækis. Leyfið er þá veitt gagngert til að nota eigin líkön til að reikna eiginfjárkröfu vegna rekstraráhættu. Fjármálafyrirtæki þurfa þá að uppfylla þau skilyrði sem tilgreind eru í 3. hluta viðauka X skv. 55. gr. A. Séu þróaðar mæliaðferðir notaðar fyrir samstæður með starfsemi yfir landamæri innan EES skulu eftirlitsaðilar viðkomandi ríkja hafa með sér samstarf um veitingu leyfis og eftirlit.</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Séu þróaðar mæliaðferðir notaðar á samstæðugrundvelli getur Fjármálaeftirlitið metið hvort fjármálafyrirtæki uppfylli skilyrði 3. hluta viðauka X skv. 55. gr. A á þeim sama grundvelli.</w:t>
            </w:r>
          </w:p>
          <w:p w:rsidR="008317D6" w:rsidRPr="00447F64" w:rsidRDefault="008317D6" w:rsidP="00E738BF">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X. KAFLI</w:t>
            </w:r>
          </w:p>
          <w:p w:rsidR="008317D6" w:rsidRPr="00447F64" w:rsidRDefault="008317D6" w:rsidP="00E738BF">
            <w:pPr>
              <w:spacing w:before="100" w:beforeAutospacing="1" w:after="100" w:afterAutospacing="1" w:line="240" w:lineRule="auto"/>
              <w:jc w:val="center"/>
              <w:rPr>
                <w:rFonts w:ascii="Arial" w:eastAsia="Times New Roman" w:hAnsi="Arial" w:cs="Arial"/>
                <w:b/>
                <w:bCs/>
                <w:sz w:val="24"/>
                <w:szCs w:val="24"/>
                <w:lang w:eastAsia="is-IS"/>
              </w:rPr>
            </w:pPr>
            <w:r w:rsidRPr="00447F64">
              <w:rPr>
                <w:rFonts w:ascii="Arial" w:eastAsia="Times New Roman" w:hAnsi="Arial" w:cs="Arial"/>
                <w:b/>
                <w:bCs/>
                <w:sz w:val="24"/>
                <w:szCs w:val="24"/>
                <w:lang w:eastAsia="is-IS"/>
              </w:rPr>
              <w:t>Eiginfjárkrafa vegna umframáhættu stórra áhættuskuldbindinga.</w:t>
            </w:r>
          </w:p>
          <w:p w:rsidR="008317D6" w:rsidRPr="00447F64" w:rsidRDefault="008317D6" w:rsidP="00E738BF">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47. gr.</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lastRenderedPageBreak/>
              <w:t>Þeim fyrirtækjum sem fengið hafa til þess skriflegt leyfi Fjármálaeftirlitsins er heimilt að fara yfir þau mörk sem tilgreind eru í reglugerð um hámark lána og ábyrgða fjár</w:t>
            </w:r>
            <w:r w:rsidRPr="00447F64">
              <w:rPr>
                <w:rFonts w:ascii="Arial" w:eastAsia="Times New Roman" w:hAnsi="Arial" w:cs="Arial"/>
                <w:sz w:val="24"/>
                <w:szCs w:val="24"/>
                <w:lang w:eastAsia="is-IS"/>
              </w:rPr>
              <w:softHyphen/>
              <w:t xml:space="preserve">málafyrirtækja, enda sé umframáhættan í samræmi við ákvæði þessa kafla. </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Sá hluti áhættuskuldbindinga einstaks viðskiptavinar ásamt fjárhagslega tengdum aðilum, sem er umfram 25% af eigin fé fyrirtækisins og sem er tilkominn vegna heimildar</w:t>
            </w:r>
            <w:r w:rsidRPr="00447F64">
              <w:rPr>
                <w:rFonts w:ascii="Arial" w:eastAsia="Times New Roman" w:hAnsi="Arial" w:cs="Arial"/>
                <w:sz w:val="24"/>
                <w:szCs w:val="24"/>
                <w:lang w:eastAsia="is-IS"/>
              </w:rPr>
              <w:softHyphen/>
              <w:t>ákvæðis þessara reglna nefnist umframáhætta í eftirfarandi greinum.</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Forsendur fyrir umframáhættu fyrirtækis eru eftirfarandi:</w:t>
            </w:r>
          </w:p>
          <w:p w:rsidR="008317D6" w:rsidRPr="00447F64" w:rsidRDefault="008317D6" w:rsidP="00447F64">
            <w:pPr>
              <w:numPr>
                <w:ilvl w:val="0"/>
                <w:numId w:val="30"/>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Sá hluti áhættuskuldbindinga viðskiptavinar sem er umfram viðmiðunarmörkin sé áhættuskuldbinding í veltubók. </w:t>
            </w:r>
          </w:p>
          <w:p w:rsidR="008317D6" w:rsidRPr="00447F64" w:rsidRDefault="008317D6" w:rsidP="00447F64">
            <w:pPr>
              <w:numPr>
                <w:ilvl w:val="0"/>
                <w:numId w:val="30"/>
              </w:num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Fyrirtækið uppfylli viðbótareiginfjárkröfu sem hlýst af umframáhættu stórra áhættuskuldbindinga.</w:t>
            </w:r>
          </w:p>
          <w:p w:rsidR="008317D6" w:rsidRPr="00447F64" w:rsidRDefault="008317D6" w:rsidP="00E738BF">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48. gr.</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Eiginfjárkrafa vegna umframáhættu einstaks viðskiptavinar eða fjárhagslega tengdra aðila skal fundin út með því að bæta við áhættugrunn fyrirtækis fjárhæð sem reiknuð er út í samræmi við ákvæði 49. gr. og 50. gr. </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Eiginfjárkrafa vegna umframáhættu skal koma til viðbótar eiginfjárkröfu sem reiknuð er vegna sömu liða samkvæmt ákvæðum annarra kafla þessara reglna. </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Við mat á áhættuskuldbindingum einstaks viðskiptavinar eða fjárhagslega tengdra aðila skal miða við heildaráhættuskuldbindingu í hlutfalli af eiginfjárþætti A og B. Við útreikning á eiginfjárkröfu fyrirtækis vegna þess hluta áhættuskuldbindingar sem telst vera umframáhætta er heimilt að taka tillit til þess hluta eigin fjár fyrirtækis sem telst til eiginfjárþáttar C.</w:t>
            </w:r>
          </w:p>
          <w:p w:rsidR="008317D6" w:rsidRPr="00447F64" w:rsidRDefault="008317D6" w:rsidP="00E738BF">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49. gr.</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Áhættugrunnur umframáhættu sem varað hefur 10 daga eða skemur skal reiknast út með því að margfalda áhættugrunn vegna sérstakrar stöðuáhættu viðkomandi veltu</w:t>
            </w:r>
            <w:r w:rsidRPr="00447F64">
              <w:rPr>
                <w:rFonts w:ascii="Arial" w:eastAsia="Times New Roman" w:hAnsi="Arial" w:cs="Arial"/>
                <w:sz w:val="24"/>
                <w:szCs w:val="24"/>
                <w:lang w:eastAsia="is-IS"/>
              </w:rPr>
              <w:softHyphen/>
              <w:t xml:space="preserve">bókarliðar, sbr. ákvæði </w:t>
            </w:r>
            <w:r w:rsidR="00447F64" w:rsidRPr="00447F64">
              <w:rPr>
                <w:rFonts w:ascii="Arial" w:eastAsia="Times New Roman" w:hAnsi="Arial" w:cs="Arial"/>
                <w:sz w:val="24"/>
                <w:szCs w:val="24"/>
                <w:lang w:eastAsia="is-IS"/>
              </w:rPr>
              <w:t>[</w:t>
            </w:r>
            <w:r w:rsidRPr="00447F64">
              <w:rPr>
                <w:rFonts w:ascii="Arial" w:eastAsia="Times New Roman" w:hAnsi="Arial" w:cs="Arial"/>
                <w:sz w:val="24"/>
                <w:szCs w:val="24"/>
                <w:lang w:eastAsia="is-IS"/>
              </w:rPr>
              <w:t>viðauka I skv. 55. gr. B</w:t>
            </w:r>
            <w:r w:rsidR="00447F64" w:rsidRPr="00447F64">
              <w:rPr>
                <w:rFonts w:ascii="Arial" w:eastAsia="Times New Roman" w:hAnsi="Arial" w:cs="Arial"/>
                <w:sz w:val="24"/>
                <w:szCs w:val="24"/>
                <w:lang w:eastAsia="is-IS"/>
              </w:rPr>
              <w:t>]</w:t>
            </w:r>
            <w:r w:rsidR="00447F64" w:rsidRPr="00447F64">
              <w:rPr>
                <w:rStyle w:val="FootnoteReference"/>
                <w:rFonts w:ascii="Arial" w:eastAsia="Times New Roman" w:hAnsi="Arial" w:cs="Arial"/>
                <w:sz w:val="24"/>
                <w:szCs w:val="24"/>
                <w:lang w:eastAsia="is-IS"/>
              </w:rPr>
              <w:footnoteReference w:id="29"/>
            </w:r>
            <w:r w:rsidRPr="00447F64">
              <w:rPr>
                <w:rFonts w:ascii="Arial" w:eastAsia="Times New Roman" w:hAnsi="Arial" w:cs="Arial"/>
                <w:sz w:val="24"/>
                <w:szCs w:val="24"/>
                <w:lang w:eastAsia="is-IS"/>
              </w:rPr>
              <w:t>, og/eða áhættugrunn vegna uppgjörs- og mótaðila</w:t>
            </w:r>
            <w:r w:rsidRPr="00447F64">
              <w:rPr>
                <w:rFonts w:ascii="Arial" w:eastAsia="Times New Roman" w:hAnsi="Arial" w:cs="Arial"/>
                <w:sz w:val="24"/>
                <w:szCs w:val="24"/>
                <w:lang w:eastAsia="is-IS"/>
              </w:rPr>
              <w:softHyphen/>
              <w:t xml:space="preserve">áhættu, sbr. ákvæði </w:t>
            </w:r>
            <w:r w:rsidR="00447F64" w:rsidRPr="00447F64">
              <w:rPr>
                <w:rFonts w:ascii="Arial" w:eastAsia="Times New Roman" w:hAnsi="Arial" w:cs="Arial"/>
                <w:sz w:val="24"/>
                <w:szCs w:val="24"/>
                <w:lang w:eastAsia="is-IS"/>
              </w:rPr>
              <w:t>[</w:t>
            </w:r>
            <w:r w:rsidRPr="00447F64">
              <w:rPr>
                <w:rFonts w:ascii="Arial" w:eastAsia="Times New Roman" w:hAnsi="Arial" w:cs="Arial"/>
                <w:sz w:val="24"/>
                <w:szCs w:val="24"/>
                <w:lang w:eastAsia="is-IS"/>
              </w:rPr>
              <w:t>viðauka II skv. 55. gr. B</w:t>
            </w:r>
            <w:r w:rsidR="00447F64" w:rsidRPr="00447F64">
              <w:rPr>
                <w:rFonts w:ascii="Arial" w:eastAsia="Times New Roman" w:hAnsi="Arial" w:cs="Arial"/>
                <w:sz w:val="24"/>
                <w:szCs w:val="24"/>
                <w:lang w:eastAsia="is-IS"/>
              </w:rPr>
              <w:t>]</w:t>
            </w:r>
            <w:r w:rsidR="00447F64" w:rsidRPr="00447F64">
              <w:rPr>
                <w:rStyle w:val="FootnoteReference"/>
                <w:rFonts w:ascii="Arial" w:eastAsia="Times New Roman" w:hAnsi="Arial" w:cs="Arial"/>
                <w:sz w:val="24"/>
                <w:szCs w:val="24"/>
                <w:lang w:eastAsia="is-IS"/>
              </w:rPr>
              <w:footnoteReference w:id="30"/>
            </w:r>
            <w:r w:rsidRPr="00447F64">
              <w:rPr>
                <w:rFonts w:ascii="Arial" w:eastAsia="Times New Roman" w:hAnsi="Arial" w:cs="Arial"/>
                <w:sz w:val="24"/>
                <w:szCs w:val="24"/>
                <w:lang w:eastAsia="is-IS"/>
              </w:rPr>
              <w:t xml:space="preserve">, með stuðlinum 2,00. </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Ekki skal taka tillit til almennrar stöðuáhættu liða í veltubók við útreikning á áhættugrunni vegna umframáhættu stórra áhættuskuldbindinga. </w:t>
            </w:r>
          </w:p>
          <w:p w:rsidR="008317D6" w:rsidRPr="00447F64" w:rsidRDefault="008317D6" w:rsidP="00E738BF">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50. gr.</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Hafi umframáhættan varað lengur en 10 daga skal, áður en frekari útreikningur á sér stað, flokka umframáhættur með hliðsjón af vægi einstakra liða við útreikning </w:t>
            </w:r>
            <w:r w:rsidRPr="00447F64">
              <w:rPr>
                <w:rFonts w:ascii="Arial" w:eastAsia="Times New Roman" w:hAnsi="Arial" w:cs="Arial"/>
                <w:sz w:val="24"/>
                <w:szCs w:val="24"/>
                <w:lang w:eastAsia="is-IS"/>
              </w:rPr>
              <w:lastRenderedPageBreak/>
              <w:t xml:space="preserve">á áhættugrunni fyrirtækis. Með vægi liða í þessu samhengi er átt við vægi einstakra liða í áhættugrunni vegna sömu áhættuþátta og vitnað er til í </w:t>
            </w:r>
            <w:r w:rsidR="00447F64" w:rsidRPr="00447F64">
              <w:rPr>
                <w:rFonts w:ascii="Arial" w:eastAsia="Times New Roman" w:hAnsi="Arial" w:cs="Arial"/>
                <w:sz w:val="24"/>
                <w:szCs w:val="24"/>
                <w:lang w:eastAsia="is-IS"/>
              </w:rPr>
              <w:t>[</w:t>
            </w:r>
            <w:r w:rsidRPr="00447F64">
              <w:rPr>
                <w:rFonts w:ascii="Arial" w:eastAsia="Times New Roman" w:hAnsi="Arial" w:cs="Arial"/>
                <w:sz w:val="24"/>
                <w:szCs w:val="24"/>
                <w:lang w:eastAsia="is-IS"/>
              </w:rPr>
              <w:t>49. gr.</w:t>
            </w:r>
            <w:r w:rsidR="00447F64" w:rsidRPr="00447F64">
              <w:rPr>
                <w:rFonts w:ascii="Arial" w:eastAsia="Times New Roman" w:hAnsi="Arial" w:cs="Arial"/>
                <w:sz w:val="24"/>
                <w:szCs w:val="24"/>
                <w:lang w:eastAsia="is-IS"/>
              </w:rPr>
              <w:t>]</w:t>
            </w:r>
            <w:r w:rsidR="00447F64" w:rsidRPr="00447F64">
              <w:rPr>
                <w:rStyle w:val="FootnoteReference"/>
                <w:rFonts w:ascii="Arial" w:eastAsia="Times New Roman" w:hAnsi="Arial" w:cs="Arial"/>
                <w:sz w:val="24"/>
                <w:szCs w:val="24"/>
                <w:lang w:eastAsia="is-IS"/>
              </w:rPr>
              <w:footnoteReference w:id="31"/>
            </w:r>
            <w:r w:rsidRPr="00447F64">
              <w:rPr>
                <w:rFonts w:ascii="Arial" w:eastAsia="Times New Roman" w:hAnsi="Arial" w:cs="Arial"/>
                <w:sz w:val="24"/>
                <w:szCs w:val="24"/>
                <w:lang w:eastAsia="is-IS"/>
              </w:rPr>
              <w:t xml:space="preserve"> Sá hluti umframáhættu sem hefur mest vægi skal koma síðast í áframhaldandi útreikningum. </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Áhættugrunnur umframáhættu sem hefur varað lengur en 10 daga skal síðan reiknaður út með því að margfalda áhættugrunn vegna sérstakrar stöðuáhættu veltubókarliðar, sbr. ákvæði viðauka I skv. 55. gr. B</w:t>
            </w:r>
            <w:r w:rsidR="00447F64" w:rsidRPr="00447F64">
              <w:rPr>
                <w:rStyle w:val="FootnoteReference"/>
                <w:rFonts w:ascii="Arial" w:eastAsia="Times New Roman" w:hAnsi="Arial" w:cs="Arial"/>
                <w:sz w:val="24"/>
                <w:szCs w:val="24"/>
                <w:lang w:eastAsia="is-IS"/>
              </w:rPr>
              <w:footnoteReference w:id="32"/>
            </w:r>
            <w:r w:rsidRPr="00447F64">
              <w:rPr>
                <w:rFonts w:ascii="Arial" w:eastAsia="Times New Roman" w:hAnsi="Arial" w:cs="Arial"/>
                <w:sz w:val="24"/>
                <w:szCs w:val="24"/>
                <w:lang w:eastAsia="is-IS"/>
              </w:rPr>
              <w:t xml:space="preserve">, og/eða áhættugrunn vegna uppgjörs- og mótaðilaáhættu, sbr. ákvæði </w:t>
            </w:r>
            <w:r w:rsidR="00447F64" w:rsidRPr="00447F64">
              <w:rPr>
                <w:rFonts w:ascii="Arial" w:eastAsia="Times New Roman" w:hAnsi="Arial" w:cs="Arial"/>
                <w:sz w:val="24"/>
                <w:szCs w:val="24"/>
                <w:lang w:eastAsia="is-IS"/>
              </w:rPr>
              <w:t>[</w:t>
            </w:r>
            <w:r w:rsidRPr="00447F64">
              <w:rPr>
                <w:rFonts w:ascii="Arial" w:eastAsia="Times New Roman" w:hAnsi="Arial" w:cs="Arial"/>
                <w:sz w:val="24"/>
                <w:szCs w:val="24"/>
                <w:lang w:eastAsia="is-IS"/>
              </w:rPr>
              <w:t>viðauka II skv. 55. gr. B</w:t>
            </w:r>
            <w:r w:rsidR="00447F64" w:rsidRPr="00447F64">
              <w:rPr>
                <w:rFonts w:ascii="Arial" w:eastAsia="Times New Roman" w:hAnsi="Arial" w:cs="Arial"/>
                <w:sz w:val="24"/>
                <w:szCs w:val="24"/>
                <w:lang w:eastAsia="is-IS"/>
              </w:rPr>
              <w:t>]</w:t>
            </w:r>
            <w:r w:rsidR="00447F64" w:rsidRPr="00447F64">
              <w:rPr>
                <w:rStyle w:val="FootnoteReference"/>
                <w:rFonts w:ascii="Arial" w:eastAsia="Times New Roman" w:hAnsi="Arial" w:cs="Arial"/>
                <w:sz w:val="24"/>
                <w:szCs w:val="24"/>
                <w:lang w:eastAsia="is-IS"/>
              </w:rPr>
              <w:footnoteReference w:id="33"/>
            </w:r>
            <w:r w:rsidRPr="00447F64">
              <w:rPr>
                <w:rFonts w:ascii="Arial" w:eastAsia="Times New Roman" w:hAnsi="Arial" w:cs="Arial"/>
                <w:sz w:val="24"/>
                <w:szCs w:val="24"/>
                <w:lang w:eastAsia="is-IS"/>
              </w:rPr>
              <w:t>, með viðeigandi stuðli samkvæmt eftirfarandi töflu.</w:t>
            </w:r>
          </w:p>
          <w:tbl>
            <w:tblPr>
              <w:tblW w:w="5520" w:type="dxa"/>
              <w:tblCellSpacing w:w="0" w:type="dxa"/>
              <w:tblCellMar>
                <w:top w:w="15" w:type="dxa"/>
                <w:left w:w="15" w:type="dxa"/>
                <w:bottom w:w="15" w:type="dxa"/>
                <w:right w:w="15" w:type="dxa"/>
              </w:tblCellMar>
              <w:tblLook w:val="04A0" w:firstRow="1" w:lastRow="0" w:firstColumn="1" w:lastColumn="0" w:noHBand="0" w:noVBand="1"/>
            </w:tblPr>
            <w:tblGrid>
              <w:gridCol w:w="3698"/>
              <w:gridCol w:w="1822"/>
            </w:tblGrid>
            <w:tr w:rsidR="008317D6" w:rsidRPr="00447F64">
              <w:trPr>
                <w:tblCellSpacing w:w="0" w:type="dxa"/>
              </w:trPr>
              <w:tc>
                <w:tcPr>
                  <w:tcW w:w="3350" w:type="pct"/>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i/>
                      <w:iCs/>
                      <w:sz w:val="24"/>
                      <w:szCs w:val="24"/>
                      <w:lang w:eastAsia="is-IS"/>
                    </w:rPr>
                    <w:t>Áhættuskuldbindingar umfram 25% af eigin fé (A+B+C).</w:t>
                  </w:r>
                  <w:r w:rsidRPr="00447F64">
                    <w:rPr>
                      <w:rFonts w:ascii="Arial" w:eastAsia="Times New Roman" w:hAnsi="Arial" w:cs="Arial"/>
                      <w:i/>
                      <w:iCs/>
                      <w:sz w:val="24"/>
                      <w:szCs w:val="24"/>
                      <w:lang w:eastAsia="is-IS"/>
                    </w:rPr>
                    <w:br/>
                  </w:r>
                  <w:r w:rsidRPr="00447F64">
                    <w:rPr>
                      <w:rFonts w:ascii="Arial" w:eastAsia="Times New Roman" w:hAnsi="Arial" w:cs="Arial"/>
                      <w:sz w:val="24"/>
                      <w:szCs w:val="24"/>
                      <w:lang w:eastAsia="is-IS"/>
                    </w:rPr>
                    <w:t>Allt að 40%, þ.e. 25%-40%</w:t>
                  </w:r>
                </w:p>
              </w:tc>
              <w:tc>
                <w:tcPr>
                  <w:tcW w:w="1650" w:type="pct"/>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i/>
                      <w:iCs/>
                      <w:sz w:val="24"/>
                      <w:szCs w:val="24"/>
                      <w:lang w:eastAsia="is-IS"/>
                    </w:rPr>
                    <w:t>Stuðull</w:t>
                  </w:r>
                  <w:r w:rsidRPr="00447F64">
                    <w:rPr>
                      <w:rFonts w:ascii="Arial" w:eastAsia="Times New Roman" w:hAnsi="Arial" w:cs="Arial"/>
                      <w:i/>
                      <w:iCs/>
                      <w:sz w:val="24"/>
                      <w:szCs w:val="24"/>
                      <w:lang w:eastAsia="is-IS"/>
                    </w:rPr>
                    <w:br/>
                  </w:r>
                  <w:r w:rsidRPr="00447F64">
                    <w:rPr>
                      <w:rFonts w:ascii="Arial" w:eastAsia="Times New Roman" w:hAnsi="Arial" w:cs="Arial"/>
                      <w:sz w:val="24"/>
                      <w:szCs w:val="24"/>
                      <w:lang w:eastAsia="is-IS"/>
                    </w:rPr>
                    <w:br/>
                    <w:t>2,00</w:t>
                  </w:r>
                </w:p>
              </w:tc>
            </w:tr>
            <w:tr w:rsidR="008317D6" w:rsidRPr="00447F64">
              <w:trPr>
                <w:tblCellSpacing w:w="0" w:type="dxa"/>
              </w:trPr>
              <w:tc>
                <w:tcPr>
                  <w:tcW w:w="3350" w:type="pct"/>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Umframáhætta 40%-60%</w:t>
                  </w:r>
                </w:p>
              </w:tc>
              <w:tc>
                <w:tcPr>
                  <w:tcW w:w="1650" w:type="pct"/>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3,00</w:t>
                  </w:r>
                </w:p>
              </w:tc>
            </w:tr>
            <w:tr w:rsidR="008317D6" w:rsidRPr="00447F64">
              <w:trPr>
                <w:tblCellSpacing w:w="0" w:type="dxa"/>
              </w:trPr>
              <w:tc>
                <w:tcPr>
                  <w:tcW w:w="3350" w:type="pct"/>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Umframáhætta 60%-80%</w:t>
                  </w:r>
                </w:p>
              </w:tc>
              <w:tc>
                <w:tcPr>
                  <w:tcW w:w="1650" w:type="pct"/>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4,00</w:t>
                  </w:r>
                </w:p>
              </w:tc>
            </w:tr>
            <w:tr w:rsidR="008317D6" w:rsidRPr="00447F64">
              <w:trPr>
                <w:tblCellSpacing w:w="0" w:type="dxa"/>
              </w:trPr>
              <w:tc>
                <w:tcPr>
                  <w:tcW w:w="3350" w:type="pct"/>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Umframáhætta 80%-100%</w:t>
                  </w:r>
                </w:p>
              </w:tc>
              <w:tc>
                <w:tcPr>
                  <w:tcW w:w="1650" w:type="pct"/>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5,00</w:t>
                  </w:r>
                </w:p>
              </w:tc>
            </w:tr>
            <w:tr w:rsidR="008317D6" w:rsidRPr="00447F64">
              <w:trPr>
                <w:tblCellSpacing w:w="0" w:type="dxa"/>
              </w:trPr>
              <w:tc>
                <w:tcPr>
                  <w:tcW w:w="3350" w:type="pct"/>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Umframáhætta 100%-250%</w:t>
                  </w:r>
                </w:p>
              </w:tc>
              <w:tc>
                <w:tcPr>
                  <w:tcW w:w="1650" w:type="pct"/>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6,00</w:t>
                  </w:r>
                </w:p>
              </w:tc>
            </w:tr>
            <w:tr w:rsidR="008317D6" w:rsidRPr="00447F64">
              <w:trPr>
                <w:tblCellSpacing w:w="0" w:type="dxa"/>
              </w:trPr>
              <w:tc>
                <w:tcPr>
                  <w:tcW w:w="3350" w:type="pct"/>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Yfir 250%</w:t>
                  </w:r>
                </w:p>
              </w:tc>
              <w:tc>
                <w:tcPr>
                  <w:tcW w:w="1650" w:type="pct"/>
                  <w:hideMark/>
                </w:tcPr>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9,00</w:t>
                  </w:r>
                </w:p>
              </w:tc>
            </w:tr>
          </w:tbl>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Hafi umframáhætta vegna einstakra viðskiptamanna eða fjárhagslega tengdra aðila varað 10 daga eða skemur, má umframáhætta fyrirtækis vegna þess viðskiptamanns eða fjárhagslega tengdra aðila eigi fara yfir 500% af þeim hluta eigin fjár fyrirtækis sem telst til eiginfjárþátta A, B og C.</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Hafi umframáhættan varað lengur en 10 daga má umframáhætta vegna einstaks viðskiptamanns eða fjárhagslega tengdra aðila eigi fara yfir 600% af þeim hluta eigin fjár fyrirtækis sem telst til eiginfjárþátta A, B og C. </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Fyrirtæki skulu þriðja hvern mánuð tilkynna Fjármálaeftirlitinu öll tilvik þar sem um umframáhættu hefur verið að ræða á næstliðnum þremur mánuðum. Tilgreina skal nafn viðkomandi viðskiptamanns og fjárhæð umframáhættu. </w:t>
            </w:r>
          </w:p>
          <w:p w:rsidR="008317D6" w:rsidRPr="00447F64" w:rsidRDefault="008317D6" w:rsidP="00447F64">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XI. KAFLI</w:t>
            </w:r>
          </w:p>
          <w:p w:rsidR="008317D6" w:rsidRPr="00447F64" w:rsidRDefault="008317D6" w:rsidP="00447F64">
            <w:pPr>
              <w:spacing w:before="100" w:beforeAutospacing="1" w:after="100" w:afterAutospacing="1" w:line="240" w:lineRule="auto"/>
              <w:jc w:val="center"/>
              <w:rPr>
                <w:rFonts w:ascii="Arial" w:eastAsia="Times New Roman" w:hAnsi="Arial" w:cs="Arial"/>
                <w:b/>
                <w:bCs/>
                <w:sz w:val="24"/>
                <w:szCs w:val="24"/>
                <w:lang w:eastAsia="is-IS"/>
              </w:rPr>
            </w:pPr>
            <w:r w:rsidRPr="00447F64">
              <w:rPr>
                <w:rFonts w:ascii="Arial" w:eastAsia="Times New Roman" w:hAnsi="Arial" w:cs="Arial"/>
                <w:b/>
                <w:bCs/>
                <w:sz w:val="24"/>
                <w:szCs w:val="24"/>
                <w:lang w:eastAsia="is-IS"/>
              </w:rPr>
              <w:t>Eftirlit og upplýsingagjöf.</w:t>
            </w:r>
          </w:p>
          <w:p w:rsidR="008317D6" w:rsidRPr="00447F64" w:rsidRDefault="008317D6" w:rsidP="00447F64">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51. gr.</w:t>
            </w:r>
          </w:p>
          <w:p w:rsidR="008317D6" w:rsidRPr="00447F64" w:rsidRDefault="008317D6" w:rsidP="00447F64">
            <w:pPr>
              <w:spacing w:before="100" w:beforeAutospacing="1" w:after="100" w:afterAutospacing="1" w:line="240" w:lineRule="auto"/>
              <w:jc w:val="center"/>
              <w:rPr>
                <w:rFonts w:ascii="Arial" w:eastAsia="Times New Roman" w:hAnsi="Arial" w:cs="Arial"/>
                <w:i/>
                <w:iCs/>
                <w:sz w:val="24"/>
                <w:szCs w:val="24"/>
                <w:lang w:eastAsia="is-IS"/>
              </w:rPr>
            </w:pPr>
            <w:r w:rsidRPr="00447F64">
              <w:rPr>
                <w:rFonts w:ascii="Arial" w:eastAsia="Times New Roman" w:hAnsi="Arial" w:cs="Arial"/>
                <w:i/>
                <w:iCs/>
                <w:sz w:val="24"/>
                <w:szCs w:val="24"/>
                <w:lang w:eastAsia="is-IS"/>
              </w:rPr>
              <w:t>Innra eftirlit.</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Fjármálafyrirtæki skal á hverjum tíma hafa yfir að ráða tryggu eftirlitskerfi með áhættu í tengslum við alla starfsemi sína. Hjá fjármálafyrirtæki skulu vera til staðar fullnægjandi og skjalfestir innri ferlar til að meta nauðsynlega stærð, samsetningu og innri dreifingu eiginfjárgrunns með hliðsjón af þeirri áhættu sem starfsemin felur í sér hverju sinni. Innri ferlarnir skulu endurmetnir reglulega til að </w:t>
            </w:r>
            <w:r w:rsidRPr="00447F64">
              <w:rPr>
                <w:rFonts w:ascii="Arial" w:eastAsia="Times New Roman" w:hAnsi="Arial" w:cs="Arial"/>
                <w:sz w:val="24"/>
                <w:szCs w:val="24"/>
                <w:lang w:eastAsia="is-IS"/>
              </w:rPr>
              <w:lastRenderedPageBreak/>
              <w:t>tryggja að þeir séu fullnægjandi með hliðsjón af eðli, umfangi og margbreytileika starfseminnar.</w:t>
            </w:r>
          </w:p>
          <w:p w:rsidR="008317D6" w:rsidRPr="00447F64" w:rsidRDefault="008317D6" w:rsidP="00447F64">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52. gr.</w:t>
            </w:r>
          </w:p>
          <w:p w:rsidR="008317D6" w:rsidRPr="00447F64" w:rsidRDefault="008317D6" w:rsidP="00447F64">
            <w:pPr>
              <w:spacing w:before="100" w:beforeAutospacing="1" w:after="100" w:afterAutospacing="1" w:line="240" w:lineRule="auto"/>
              <w:jc w:val="center"/>
              <w:rPr>
                <w:rFonts w:ascii="Arial" w:eastAsia="Times New Roman" w:hAnsi="Arial" w:cs="Arial"/>
                <w:i/>
                <w:iCs/>
                <w:sz w:val="24"/>
                <w:szCs w:val="24"/>
                <w:lang w:eastAsia="is-IS"/>
              </w:rPr>
            </w:pPr>
            <w:r w:rsidRPr="00447F64">
              <w:rPr>
                <w:rFonts w:ascii="Arial" w:eastAsia="Times New Roman" w:hAnsi="Arial" w:cs="Arial"/>
                <w:i/>
                <w:iCs/>
                <w:sz w:val="24"/>
                <w:szCs w:val="24"/>
                <w:lang w:eastAsia="is-IS"/>
              </w:rPr>
              <w:t>Eftirlit Fjármálaeftirlitsins.</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Fjármálaeftirlitið kannar það fyrirkomulag og aðferðir, ásamt búnaði og framkvæmd, sem fjármálafyrirtæki notar til að fylgja reglum þessum og beitir í því sambandi tæknilegum viðmiðum sem tilgreind eru í viðauka XI skv. 55. gr. A. Fjármálaeftirlitið leggur jafnframt mat á þær áhættur sem felast í starfsemi fjármálafyrirtækis. </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Fjármálaeftirlitið metur hvort þær ráðstafanir sem fjármálafyrirtæki grípur til séu nægjanlegar, hvort stjórnun sé traust og hvort eiginfjárgrunnur sé fullnægjandi með hliðsjón af áhættum sem felast í starfseminni.</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Fjármálaeftirlitið ákveður tíðni og umfang skoðana og mats með tilliti til stærðar fjármálafyrirtækja, hvort þau séu kerfislega mikilvæg, eðlis, umfangs og margbreytileika í starfsemi þeirra. Matið skal endurskoðað að minnsta kosti árlega.</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Fjármálaeftirlitið kannar áhrif fastvaxtaáhættu vegna liða utan veltubókar og þarf fjármálafyrirtæki að grípa til ráðstafana ef skyndileg breyting á vöxtum, sem nemur 200 punktum, hefur þau áhrif að eiginfjárgrunnur þess rýrnar um meira en 20%.</w:t>
            </w:r>
          </w:p>
          <w:p w:rsidR="008317D6" w:rsidRPr="00447F64" w:rsidRDefault="008317D6" w:rsidP="00447F64">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53. gr.</w:t>
            </w:r>
          </w:p>
          <w:p w:rsidR="008317D6" w:rsidRPr="00447F64" w:rsidRDefault="008317D6" w:rsidP="00447F64">
            <w:pPr>
              <w:spacing w:before="100" w:beforeAutospacing="1" w:after="100" w:afterAutospacing="1" w:line="240" w:lineRule="auto"/>
              <w:jc w:val="center"/>
              <w:rPr>
                <w:rFonts w:ascii="Arial" w:eastAsia="Times New Roman" w:hAnsi="Arial" w:cs="Arial"/>
                <w:i/>
                <w:iCs/>
                <w:sz w:val="24"/>
                <w:szCs w:val="24"/>
                <w:lang w:eastAsia="is-IS"/>
              </w:rPr>
            </w:pPr>
            <w:r w:rsidRPr="00447F64">
              <w:rPr>
                <w:rFonts w:ascii="Arial" w:eastAsia="Times New Roman" w:hAnsi="Arial" w:cs="Arial"/>
                <w:i/>
                <w:iCs/>
                <w:sz w:val="24"/>
                <w:szCs w:val="24"/>
                <w:lang w:eastAsia="is-IS"/>
              </w:rPr>
              <w:t>Upplýsingagjöf fjármálafyrirtækja.</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Fjármálafyrirtækjum ber að birta opinberlega þær upplýsingar sem tilgreindar eru í 2. og 3. hluta viðauka XII skv. 55. gr. A. Heimilt er að undanskilja upplýsingar sem ekki eru taldar mikilvægar skv. 1. mgr. 1. hluta sama viðauka. Einnig er heimilt að undanskilja upplýsingar sem geta talist trúnaðarupplýsingar skv. 2. og 3. mgr. 1. hluta ofangreinds viðauka. Fjármálafyrirtækjum ber þó að upplýsa hvort viðkomandi upplýsingar hafi verið birtar og ástæður ef svo er ekki.</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Fjármálafyrirtækjum ber að marka stefnu varðandi upplýsingagjöf, þ.e. mat á viðeigandi upplýsingum og hversu oft þær eru birtar. </w:t>
            </w:r>
          </w:p>
          <w:p w:rsidR="008317D6" w:rsidRPr="00447F64" w:rsidRDefault="008317D6" w:rsidP="00447F64">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XII. KAFLI</w:t>
            </w:r>
          </w:p>
          <w:p w:rsidR="008317D6" w:rsidRPr="00447F64" w:rsidRDefault="008317D6" w:rsidP="00447F64">
            <w:pPr>
              <w:spacing w:before="100" w:beforeAutospacing="1" w:after="100" w:afterAutospacing="1" w:line="240" w:lineRule="auto"/>
              <w:jc w:val="center"/>
              <w:rPr>
                <w:rFonts w:ascii="Arial" w:eastAsia="Times New Roman" w:hAnsi="Arial" w:cs="Arial"/>
                <w:b/>
                <w:bCs/>
                <w:sz w:val="24"/>
                <w:szCs w:val="24"/>
                <w:lang w:eastAsia="is-IS"/>
              </w:rPr>
            </w:pPr>
            <w:r w:rsidRPr="00447F64">
              <w:rPr>
                <w:rFonts w:ascii="Arial" w:eastAsia="Times New Roman" w:hAnsi="Arial" w:cs="Arial"/>
                <w:b/>
                <w:bCs/>
                <w:sz w:val="24"/>
                <w:szCs w:val="24"/>
                <w:lang w:eastAsia="is-IS"/>
              </w:rPr>
              <w:t>Samstæðuuppgjör.</w:t>
            </w:r>
          </w:p>
          <w:p w:rsidR="008317D6" w:rsidRPr="00447F64" w:rsidRDefault="008317D6" w:rsidP="00447F64">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54. gr.</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 xml:space="preserve">Ákvæði þessara reglna skulu einnig ná til samstæðu þeirra fyrirtækja sem talin eru upp í 1. gr. þessara reglna. </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lastRenderedPageBreak/>
              <w:t xml:space="preserve">Við útreikning á </w:t>
            </w:r>
            <w:r w:rsidR="00447F64" w:rsidRPr="00447F64">
              <w:rPr>
                <w:rFonts w:ascii="Arial" w:eastAsia="Times New Roman" w:hAnsi="Arial" w:cs="Arial"/>
                <w:sz w:val="24"/>
                <w:szCs w:val="24"/>
                <w:lang w:eastAsia="is-IS"/>
              </w:rPr>
              <w:t>[</w:t>
            </w:r>
            <w:r w:rsidRPr="00447F64">
              <w:rPr>
                <w:rFonts w:ascii="Arial" w:eastAsia="Times New Roman" w:hAnsi="Arial" w:cs="Arial"/>
                <w:sz w:val="24"/>
                <w:szCs w:val="24"/>
                <w:lang w:eastAsia="is-IS"/>
              </w:rPr>
              <w:t>áhættugrunni</w:t>
            </w:r>
            <w:r w:rsidR="00447F64" w:rsidRPr="00447F64">
              <w:rPr>
                <w:rFonts w:ascii="Arial" w:eastAsia="Times New Roman" w:hAnsi="Arial" w:cs="Arial"/>
                <w:sz w:val="24"/>
                <w:szCs w:val="24"/>
                <w:lang w:eastAsia="is-IS"/>
              </w:rPr>
              <w:t>]</w:t>
            </w:r>
            <w:r w:rsidR="00447F64" w:rsidRPr="00447F64">
              <w:rPr>
                <w:rStyle w:val="FootnoteReference"/>
                <w:rFonts w:ascii="Arial" w:eastAsia="Times New Roman" w:hAnsi="Arial" w:cs="Arial"/>
                <w:sz w:val="24"/>
                <w:szCs w:val="24"/>
                <w:lang w:eastAsia="is-IS"/>
              </w:rPr>
              <w:footnoteReference w:id="34"/>
            </w:r>
            <w:r w:rsidRPr="00447F64">
              <w:rPr>
                <w:rFonts w:ascii="Arial" w:eastAsia="Times New Roman" w:hAnsi="Arial" w:cs="Arial"/>
                <w:sz w:val="24"/>
                <w:szCs w:val="24"/>
                <w:lang w:eastAsia="is-IS"/>
              </w:rPr>
              <w:t xml:space="preserve"> samstæðu er heimilt að jafna stöðu í skuldaskjölum, hlutabréfum og hrávörum við mat á stöðuáhættu í veltubók sbr. IV. kafla, milli fyrirtækja innan samstæðunnar. Sama á við um stöður í gjaldmiðlum og gulli við mat á gjald</w:t>
            </w:r>
            <w:r w:rsidRPr="00447F64">
              <w:rPr>
                <w:rFonts w:ascii="Arial" w:eastAsia="Times New Roman" w:hAnsi="Arial" w:cs="Arial"/>
                <w:sz w:val="24"/>
                <w:szCs w:val="24"/>
                <w:lang w:eastAsia="is-IS"/>
              </w:rPr>
              <w:softHyphen/>
              <w:t>eyris</w:t>
            </w:r>
            <w:r w:rsidRPr="00447F64">
              <w:rPr>
                <w:rFonts w:ascii="Arial" w:eastAsia="Times New Roman" w:hAnsi="Arial" w:cs="Arial"/>
                <w:sz w:val="24"/>
                <w:szCs w:val="24"/>
                <w:lang w:eastAsia="is-IS"/>
              </w:rPr>
              <w:softHyphen/>
              <w:t xml:space="preserve">áhættu. </w:t>
            </w:r>
          </w:p>
          <w:p w:rsidR="008317D6" w:rsidRPr="00447F64" w:rsidRDefault="008317D6" w:rsidP="00447F64">
            <w:pPr>
              <w:spacing w:before="100" w:beforeAutospacing="1" w:after="100" w:afterAutospacing="1" w:line="240" w:lineRule="auto"/>
              <w:jc w:val="both"/>
              <w:rPr>
                <w:rFonts w:ascii="Arial" w:eastAsia="Times New Roman" w:hAnsi="Arial" w:cs="Arial"/>
                <w:i/>
                <w:iCs/>
                <w:sz w:val="24"/>
                <w:szCs w:val="24"/>
                <w:lang w:eastAsia="is-IS"/>
              </w:rPr>
            </w:pPr>
            <w:r w:rsidRPr="00447F64">
              <w:rPr>
                <w:rFonts w:ascii="Arial" w:eastAsia="Times New Roman" w:hAnsi="Arial" w:cs="Arial"/>
                <w:sz w:val="24"/>
                <w:szCs w:val="24"/>
                <w:lang w:eastAsia="is-IS"/>
              </w:rPr>
              <w:t xml:space="preserve">Við útreikning á </w:t>
            </w:r>
            <w:r w:rsidR="00447F64" w:rsidRPr="00447F64">
              <w:rPr>
                <w:rFonts w:ascii="Arial" w:eastAsia="Times New Roman" w:hAnsi="Arial" w:cs="Arial"/>
                <w:sz w:val="24"/>
                <w:szCs w:val="24"/>
                <w:lang w:eastAsia="is-IS"/>
              </w:rPr>
              <w:t>[</w:t>
            </w:r>
            <w:r w:rsidRPr="00447F64">
              <w:rPr>
                <w:rFonts w:ascii="Arial" w:eastAsia="Times New Roman" w:hAnsi="Arial" w:cs="Arial"/>
                <w:sz w:val="24"/>
                <w:szCs w:val="24"/>
                <w:lang w:eastAsia="is-IS"/>
              </w:rPr>
              <w:t>áhættugrunni</w:t>
            </w:r>
            <w:r w:rsidR="00447F64" w:rsidRPr="00447F64">
              <w:rPr>
                <w:rFonts w:ascii="Arial" w:eastAsia="Times New Roman" w:hAnsi="Arial" w:cs="Arial"/>
                <w:sz w:val="24"/>
                <w:szCs w:val="24"/>
                <w:lang w:eastAsia="is-IS"/>
              </w:rPr>
              <w:t>]</w:t>
            </w:r>
            <w:r w:rsidR="00447F64" w:rsidRPr="00447F64">
              <w:rPr>
                <w:rStyle w:val="FootnoteReference"/>
                <w:rFonts w:ascii="Arial" w:eastAsia="Times New Roman" w:hAnsi="Arial" w:cs="Arial"/>
                <w:sz w:val="24"/>
                <w:szCs w:val="24"/>
                <w:lang w:eastAsia="is-IS"/>
              </w:rPr>
              <w:footnoteReference w:id="35"/>
            </w:r>
            <w:r w:rsidRPr="00447F64">
              <w:rPr>
                <w:rFonts w:ascii="Arial" w:eastAsia="Times New Roman" w:hAnsi="Arial" w:cs="Arial"/>
                <w:sz w:val="24"/>
                <w:szCs w:val="24"/>
                <w:lang w:eastAsia="is-IS"/>
              </w:rPr>
              <w:t xml:space="preserve"> þess hluta samstæðu sem er utan Íslands, en innan EES, gilda reglur gistiríkis </w:t>
            </w:r>
            <w:r w:rsidRPr="00447F64">
              <w:rPr>
                <w:rFonts w:ascii="Arial" w:eastAsia="Times New Roman" w:hAnsi="Arial" w:cs="Arial"/>
                <w:i/>
                <w:iCs/>
                <w:sz w:val="24"/>
                <w:szCs w:val="24"/>
                <w:lang w:eastAsia="is-IS"/>
              </w:rPr>
              <w:t xml:space="preserve">(e. </w:t>
            </w:r>
            <w:proofErr w:type="spellStart"/>
            <w:r w:rsidRPr="00447F64">
              <w:rPr>
                <w:rFonts w:ascii="Arial" w:eastAsia="Times New Roman" w:hAnsi="Arial" w:cs="Arial"/>
                <w:i/>
                <w:iCs/>
                <w:sz w:val="24"/>
                <w:szCs w:val="24"/>
                <w:lang w:eastAsia="is-IS"/>
              </w:rPr>
              <w:t>bottom</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up</w:t>
            </w:r>
            <w:proofErr w:type="spellEnd"/>
            <w:r w:rsidRPr="00447F64">
              <w:rPr>
                <w:rFonts w:ascii="Arial" w:eastAsia="Times New Roman" w:hAnsi="Arial" w:cs="Arial"/>
                <w:i/>
                <w:iCs/>
                <w:sz w:val="24"/>
                <w:szCs w:val="24"/>
                <w:lang w:eastAsia="is-IS"/>
              </w:rPr>
              <w:t xml:space="preserve"> </w:t>
            </w:r>
            <w:proofErr w:type="spellStart"/>
            <w:r w:rsidRPr="00447F64">
              <w:rPr>
                <w:rFonts w:ascii="Arial" w:eastAsia="Times New Roman" w:hAnsi="Arial" w:cs="Arial"/>
                <w:i/>
                <w:iCs/>
                <w:sz w:val="24"/>
                <w:szCs w:val="24"/>
                <w:lang w:eastAsia="is-IS"/>
              </w:rPr>
              <w:t>approach</w:t>
            </w:r>
            <w:proofErr w:type="spellEnd"/>
            <w:r w:rsidRPr="00447F64">
              <w:rPr>
                <w:rFonts w:ascii="Arial" w:eastAsia="Times New Roman" w:hAnsi="Arial" w:cs="Arial"/>
                <w:i/>
                <w:iCs/>
                <w:sz w:val="24"/>
                <w:szCs w:val="24"/>
                <w:lang w:eastAsia="is-IS"/>
              </w:rPr>
              <w:t>).</w:t>
            </w:r>
          </w:p>
          <w:p w:rsidR="008317D6" w:rsidRPr="00447F64" w:rsidRDefault="008317D6" w:rsidP="00447F64">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XIII. KAFLI</w:t>
            </w:r>
          </w:p>
          <w:p w:rsidR="008317D6" w:rsidRPr="00447F64" w:rsidRDefault="008317D6" w:rsidP="00447F64">
            <w:pPr>
              <w:spacing w:before="100" w:beforeAutospacing="1" w:after="100" w:afterAutospacing="1" w:line="240" w:lineRule="auto"/>
              <w:jc w:val="center"/>
              <w:rPr>
                <w:rFonts w:ascii="Arial" w:eastAsia="Times New Roman" w:hAnsi="Arial" w:cs="Arial"/>
                <w:b/>
                <w:bCs/>
                <w:sz w:val="24"/>
                <w:szCs w:val="24"/>
                <w:lang w:eastAsia="is-IS"/>
              </w:rPr>
            </w:pPr>
            <w:r w:rsidRPr="00447F64">
              <w:rPr>
                <w:rFonts w:ascii="Arial" w:eastAsia="Times New Roman" w:hAnsi="Arial" w:cs="Arial"/>
                <w:b/>
                <w:bCs/>
                <w:sz w:val="24"/>
                <w:szCs w:val="24"/>
                <w:lang w:eastAsia="is-IS"/>
              </w:rPr>
              <w:t>Tilvísun til viðauka tilskipana ESB.</w:t>
            </w:r>
          </w:p>
          <w:p w:rsidR="008317D6" w:rsidRPr="00447F64" w:rsidRDefault="00447F64" w:rsidP="00447F64">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w:t>
            </w:r>
            <w:r w:rsidR="008317D6" w:rsidRPr="00447F64">
              <w:rPr>
                <w:rFonts w:ascii="Arial" w:eastAsia="Times New Roman" w:hAnsi="Arial" w:cs="Arial"/>
                <w:sz w:val="24"/>
                <w:szCs w:val="24"/>
                <w:lang w:eastAsia="is-IS"/>
              </w:rPr>
              <w:t>55. gr.</w:t>
            </w:r>
          </w:p>
          <w:p w:rsidR="00786B63" w:rsidRPr="00447F64" w:rsidRDefault="00786B63" w:rsidP="00447F64">
            <w:pPr>
              <w:pStyle w:val="NormalWeb"/>
              <w:jc w:val="both"/>
              <w:rPr>
                <w:rFonts w:ascii="Arial" w:hAnsi="Arial" w:cs="Arial"/>
              </w:rPr>
            </w:pPr>
            <w:r w:rsidRPr="00447F64">
              <w:rPr>
                <w:rFonts w:ascii="Arial" w:hAnsi="Arial" w:cs="Arial"/>
              </w:rPr>
              <w:t>Með vísan til heimildar í ákvæði til bráðabirgða III í lögum nr. 170/2006 um breytingu á lögum um fjármálafyrirtæki, nr. 161/2002, með síðari breytingum, vísar Fjármálaeftirlitið til enskrar útgáfu í Stjórnartíðindum Evrópusambandsins á tilteknum viðaukum tilskipunar 2006/48/EB um stofnun og rekstur lánastofnana með áorðnum breytingum samkvæmt tilskipun 2009/83/EB:</w:t>
            </w:r>
          </w:p>
          <w:p w:rsidR="00786B63" w:rsidRPr="00447F64" w:rsidRDefault="00C23FF4" w:rsidP="00447F64">
            <w:pPr>
              <w:pStyle w:val="NormalWeb"/>
              <w:jc w:val="both"/>
              <w:rPr>
                <w:rFonts w:ascii="Arial" w:hAnsi="Arial" w:cs="Arial"/>
              </w:rPr>
            </w:pPr>
            <w:hyperlink r:id="rId9" w:history="1">
              <w:r w:rsidR="00786B63" w:rsidRPr="00447F64">
                <w:rPr>
                  <w:rStyle w:val="Hyperlink"/>
                  <w:rFonts w:ascii="Arial" w:hAnsi="Arial" w:cs="Arial"/>
                </w:rPr>
                <w:t>http://eur-lex.europa.eu/LexUriServ/site/en/oj/2006/l_177/l_17720060630en00010200.pdf</w:t>
              </w:r>
            </w:hyperlink>
          </w:p>
          <w:p w:rsidR="00786B63" w:rsidRPr="00447F64" w:rsidRDefault="00786B63" w:rsidP="00447F64">
            <w:pPr>
              <w:pStyle w:val="NormalWeb"/>
              <w:jc w:val="both"/>
              <w:rPr>
                <w:rFonts w:ascii="Arial" w:hAnsi="Arial" w:cs="Arial"/>
              </w:rPr>
            </w:pPr>
            <w:r w:rsidRPr="00447F64">
              <w:rPr>
                <w:rFonts w:ascii="Arial" w:hAnsi="Arial" w:cs="Arial"/>
              </w:rPr>
              <w:t>og</w:t>
            </w:r>
          </w:p>
          <w:p w:rsidR="00786B63" w:rsidRPr="00447F64" w:rsidRDefault="00C23FF4" w:rsidP="00447F64">
            <w:pPr>
              <w:pStyle w:val="NormalWeb"/>
              <w:jc w:val="both"/>
              <w:rPr>
                <w:rFonts w:ascii="Arial" w:hAnsi="Arial" w:cs="Arial"/>
              </w:rPr>
            </w:pPr>
            <w:hyperlink r:id="rId10" w:history="1">
              <w:r w:rsidR="00786B63" w:rsidRPr="00447F64">
                <w:rPr>
                  <w:rStyle w:val="Hyperlink"/>
                  <w:rFonts w:ascii="Arial" w:hAnsi="Arial" w:cs="Arial"/>
                </w:rPr>
                <w:t>http://eur-lex.europa.eu/LexUriServ/LexUriServ.do?uri=OJ:L:2009:196:0014:0021:EN:PDF</w:t>
              </w:r>
            </w:hyperlink>
          </w:p>
          <w:p w:rsidR="00786B63" w:rsidRPr="00447F64" w:rsidRDefault="00786B63" w:rsidP="00447F64">
            <w:pPr>
              <w:pStyle w:val="NormalWeb"/>
              <w:jc w:val="both"/>
              <w:rPr>
                <w:rFonts w:ascii="Arial" w:hAnsi="Arial" w:cs="Arial"/>
              </w:rPr>
            </w:pPr>
            <w:r w:rsidRPr="00447F64">
              <w:rPr>
                <w:rFonts w:ascii="Arial" w:hAnsi="Arial" w:cs="Arial"/>
              </w:rPr>
              <w:t xml:space="preserve">og tilskipunar 2006/49/EB um eiginfjárkröfur fjárfestingarfyrirtækja og lánastofnana með áorðnum breytingum samkvæmt tilskipun 2009/27/EB: </w:t>
            </w:r>
          </w:p>
          <w:p w:rsidR="00786B63" w:rsidRPr="00447F64" w:rsidRDefault="00C23FF4" w:rsidP="00447F64">
            <w:pPr>
              <w:pStyle w:val="NormalWeb"/>
              <w:jc w:val="both"/>
              <w:rPr>
                <w:rFonts w:ascii="Arial" w:hAnsi="Arial" w:cs="Arial"/>
              </w:rPr>
            </w:pPr>
            <w:hyperlink r:id="rId11" w:history="1">
              <w:r w:rsidR="00786B63" w:rsidRPr="00447F64">
                <w:rPr>
                  <w:rStyle w:val="Hyperlink"/>
                  <w:rFonts w:ascii="Arial" w:hAnsi="Arial" w:cs="Arial"/>
                </w:rPr>
                <w:t>http://eur-lex.europa.eu/LexUriServ/site/en/oj/2006/l_177/l_17720060630en02010255.pdf</w:t>
              </w:r>
            </w:hyperlink>
          </w:p>
          <w:p w:rsidR="00786B63" w:rsidRPr="00447F64" w:rsidRDefault="00786B63" w:rsidP="00447F64">
            <w:pPr>
              <w:pStyle w:val="NormalWeb"/>
              <w:jc w:val="both"/>
              <w:rPr>
                <w:rFonts w:ascii="Arial" w:hAnsi="Arial" w:cs="Arial"/>
              </w:rPr>
            </w:pPr>
            <w:r w:rsidRPr="00447F64">
              <w:rPr>
                <w:rFonts w:ascii="Arial" w:hAnsi="Arial" w:cs="Arial"/>
              </w:rPr>
              <w:t>og</w:t>
            </w:r>
          </w:p>
          <w:p w:rsidR="00786B63" w:rsidRPr="00447F64" w:rsidRDefault="00C23FF4" w:rsidP="00447F64">
            <w:pPr>
              <w:pStyle w:val="NormalWeb"/>
              <w:jc w:val="both"/>
              <w:rPr>
                <w:rFonts w:ascii="Arial" w:hAnsi="Arial" w:cs="Arial"/>
                <w:color w:val="0000FF"/>
                <w:u w:val="single"/>
              </w:rPr>
            </w:pPr>
            <w:hyperlink r:id="rId12" w:history="1">
              <w:r w:rsidR="00786B63" w:rsidRPr="00447F64">
                <w:rPr>
                  <w:rStyle w:val="Hyperlink"/>
                  <w:rFonts w:ascii="Arial" w:hAnsi="Arial" w:cs="Arial"/>
                </w:rPr>
                <w:t>http://eur-lex.europa.eu/LexUriServ/LexUriServ.do?uri=OJ:L:2009:094:0097:0099:EN:PDF</w:t>
              </w:r>
            </w:hyperlink>
            <w:r w:rsidR="00786B63" w:rsidRPr="00447F64">
              <w:rPr>
                <w:rFonts w:ascii="Arial" w:hAnsi="Arial" w:cs="Arial"/>
                <w:color w:val="0000FF"/>
                <w:u w:val="single"/>
              </w:rPr>
              <w:t>.</w:t>
            </w:r>
          </w:p>
          <w:p w:rsidR="00786B63" w:rsidRPr="00447F64" w:rsidRDefault="00786B63" w:rsidP="00447F64">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A.</w:t>
            </w:r>
          </w:p>
          <w:p w:rsidR="00786B63" w:rsidRPr="00447F64" w:rsidRDefault="00786B63" w:rsidP="00447F64">
            <w:pPr>
              <w:pStyle w:val="NormalWeb"/>
              <w:jc w:val="both"/>
              <w:rPr>
                <w:rFonts w:ascii="Arial" w:hAnsi="Arial" w:cs="Arial"/>
              </w:rPr>
            </w:pPr>
            <w:r w:rsidRPr="00447F64">
              <w:rPr>
                <w:rFonts w:ascii="Arial" w:hAnsi="Arial" w:cs="Arial"/>
              </w:rPr>
              <w:t>Tilskipun Evrópuþingsins og ráðsins 2006/48/EB frá 14. júní 2006 um stofnun og rekstur lánastofnana (endursamið) (</w:t>
            </w:r>
            <w:r w:rsidRPr="00447F64">
              <w:rPr>
                <w:rFonts w:ascii="Arial" w:hAnsi="Arial" w:cs="Arial"/>
                <w:i/>
                <w:iCs/>
              </w:rPr>
              <w:t xml:space="preserve">e. </w:t>
            </w:r>
            <w:proofErr w:type="spellStart"/>
            <w:r w:rsidRPr="00447F64">
              <w:rPr>
                <w:rFonts w:ascii="Arial" w:hAnsi="Arial" w:cs="Arial"/>
                <w:i/>
                <w:iCs/>
              </w:rPr>
              <w:t>Directive</w:t>
            </w:r>
            <w:proofErr w:type="spellEnd"/>
            <w:r w:rsidRPr="00447F64">
              <w:rPr>
                <w:rFonts w:ascii="Arial" w:hAnsi="Arial" w:cs="Arial"/>
                <w:i/>
                <w:iCs/>
              </w:rPr>
              <w:t xml:space="preserve"> 2006/48/EC of </w:t>
            </w:r>
            <w:proofErr w:type="spellStart"/>
            <w:r w:rsidRPr="00447F64">
              <w:rPr>
                <w:rFonts w:ascii="Arial" w:hAnsi="Arial" w:cs="Arial"/>
                <w:i/>
                <w:iCs/>
              </w:rPr>
              <w:t>the</w:t>
            </w:r>
            <w:proofErr w:type="spellEnd"/>
            <w:r w:rsidRPr="00447F64">
              <w:rPr>
                <w:rFonts w:ascii="Arial" w:hAnsi="Arial" w:cs="Arial"/>
                <w:i/>
                <w:iCs/>
              </w:rPr>
              <w:t xml:space="preserve"> </w:t>
            </w:r>
            <w:proofErr w:type="spellStart"/>
            <w:r w:rsidRPr="00447F64">
              <w:rPr>
                <w:rFonts w:ascii="Arial" w:hAnsi="Arial" w:cs="Arial"/>
                <w:i/>
                <w:iCs/>
              </w:rPr>
              <w:t>European</w:t>
            </w:r>
            <w:proofErr w:type="spellEnd"/>
            <w:r w:rsidRPr="00447F64">
              <w:rPr>
                <w:rFonts w:ascii="Arial" w:hAnsi="Arial" w:cs="Arial"/>
                <w:i/>
                <w:iCs/>
              </w:rPr>
              <w:t xml:space="preserve"> </w:t>
            </w:r>
            <w:proofErr w:type="spellStart"/>
            <w:r w:rsidRPr="00447F64">
              <w:rPr>
                <w:rFonts w:ascii="Arial" w:hAnsi="Arial" w:cs="Arial"/>
                <w:i/>
                <w:iCs/>
              </w:rPr>
              <w:t>Parliament</w:t>
            </w:r>
            <w:proofErr w:type="spellEnd"/>
            <w:r w:rsidRPr="00447F64">
              <w:rPr>
                <w:rFonts w:ascii="Arial" w:hAnsi="Arial" w:cs="Arial"/>
                <w:i/>
                <w:iCs/>
              </w:rPr>
              <w:t xml:space="preserve"> and of </w:t>
            </w:r>
            <w:proofErr w:type="spellStart"/>
            <w:r w:rsidRPr="00447F64">
              <w:rPr>
                <w:rFonts w:ascii="Arial" w:hAnsi="Arial" w:cs="Arial"/>
                <w:i/>
                <w:iCs/>
              </w:rPr>
              <w:t>the</w:t>
            </w:r>
            <w:proofErr w:type="spellEnd"/>
            <w:r w:rsidRPr="00447F64">
              <w:rPr>
                <w:rFonts w:ascii="Arial" w:hAnsi="Arial" w:cs="Arial"/>
                <w:i/>
                <w:iCs/>
              </w:rPr>
              <w:t xml:space="preserve"> </w:t>
            </w:r>
            <w:proofErr w:type="spellStart"/>
            <w:r w:rsidRPr="00447F64">
              <w:rPr>
                <w:rFonts w:ascii="Arial" w:hAnsi="Arial" w:cs="Arial"/>
                <w:i/>
                <w:iCs/>
              </w:rPr>
              <w:t>Council</w:t>
            </w:r>
            <w:proofErr w:type="spellEnd"/>
            <w:r w:rsidRPr="00447F64">
              <w:rPr>
                <w:rFonts w:ascii="Arial" w:hAnsi="Arial" w:cs="Arial"/>
                <w:i/>
                <w:iCs/>
              </w:rPr>
              <w:t xml:space="preserve"> of 14 </w:t>
            </w:r>
            <w:proofErr w:type="spellStart"/>
            <w:r w:rsidRPr="00447F64">
              <w:rPr>
                <w:rFonts w:ascii="Arial" w:hAnsi="Arial" w:cs="Arial"/>
                <w:i/>
                <w:iCs/>
              </w:rPr>
              <w:t>June</w:t>
            </w:r>
            <w:proofErr w:type="spellEnd"/>
            <w:r w:rsidRPr="00447F64">
              <w:rPr>
                <w:rFonts w:ascii="Arial" w:hAnsi="Arial" w:cs="Arial"/>
                <w:i/>
                <w:iCs/>
              </w:rPr>
              <w:t xml:space="preserve"> 2006 </w:t>
            </w:r>
            <w:proofErr w:type="spellStart"/>
            <w:r w:rsidRPr="00447F64">
              <w:rPr>
                <w:rFonts w:ascii="Arial" w:hAnsi="Arial" w:cs="Arial"/>
                <w:i/>
                <w:iCs/>
              </w:rPr>
              <w:t>relating</w:t>
            </w:r>
            <w:proofErr w:type="spellEnd"/>
            <w:r w:rsidRPr="00447F64">
              <w:rPr>
                <w:rFonts w:ascii="Arial" w:hAnsi="Arial" w:cs="Arial"/>
                <w:i/>
                <w:iCs/>
              </w:rPr>
              <w:t xml:space="preserve"> </w:t>
            </w:r>
            <w:proofErr w:type="spellStart"/>
            <w:r w:rsidRPr="00447F64">
              <w:rPr>
                <w:rFonts w:ascii="Arial" w:hAnsi="Arial" w:cs="Arial"/>
                <w:i/>
                <w:iCs/>
              </w:rPr>
              <w:t>the</w:t>
            </w:r>
            <w:proofErr w:type="spellEnd"/>
            <w:r w:rsidRPr="00447F64">
              <w:rPr>
                <w:rFonts w:ascii="Arial" w:hAnsi="Arial" w:cs="Arial"/>
                <w:i/>
                <w:iCs/>
              </w:rPr>
              <w:t xml:space="preserve"> </w:t>
            </w:r>
            <w:proofErr w:type="spellStart"/>
            <w:r w:rsidRPr="00447F64">
              <w:rPr>
                <w:rFonts w:ascii="Arial" w:hAnsi="Arial" w:cs="Arial"/>
                <w:i/>
                <w:iCs/>
              </w:rPr>
              <w:t>taking</w:t>
            </w:r>
            <w:proofErr w:type="spellEnd"/>
            <w:r w:rsidRPr="00447F64">
              <w:rPr>
                <w:rFonts w:ascii="Arial" w:hAnsi="Arial" w:cs="Arial"/>
                <w:i/>
                <w:iCs/>
              </w:rPr>
              <w:t xml:space="preserve"> </w:t>
            </w:r>
            <w:proofErr w:type="spellStart"/>
            <w:r w:rsidRPr="00447F64">
              <w:rPr>
                <w:rFonts w:ascii="Arial" w:hAnsi="Arial" w:cs="Arial"/>
                <w:i/>
                <w:iCs/>
              </w:rPr>
              <w:t>up</w:t>
            </w:r>
            <w:proofErr w:type="spellEnd"/>
            <w:r w:rsidRPr="00447F64">
              <w:rPr>
                <w:rFonts w:ascii="Arial" w:hAnsi="Arial" w:cs="Arial"/>
                <w:i/>
                <w:iCs/>
              </w:rPr>
              <w:t xml:space="preserve"> and </w:t>
            </w:r>
            <w:proofErr w:type="spellStart"/>
            <w:r w:rsidRPr="00447F64">
              <w:rPr>
                <w:rFonts w:ascii="Arial" w:hAnsi="Arial" w:cs="Arial"/>
                <w:i/>
                <w:iCs/>
              </w:rPr>
              <w:t>pursuit</w:t>
            </w:r>
            <w:proofErr w:type="spellEnd"/>
            <w:r w:rsidRPr="00447F64">
              <w:rPr>
                <w:rFonts w:ascii="Arial" w:hAnsi="Arial" w:cs="Arial"/>
                <w:i/>
                <w:iCs/>
              </w:rPr>
              <w:t xml:space="preserve"> of </w:t>
            </w:r>
            <w:proofErr w:type="spellStart"/>
            <w:r w:rsidRPr="00447F64">
              <w:rPr>
                <w:rFonts w:ascii="Arial" w:hAnsi="Arial" w:cs="Arial"/>
                <w:i/>
                <w:iCs/>
              </w:rPr>
              <w:t>the</w:t>
            </w:r>
            <w:proofErr w:type="spellEnd"/>
            <w:r w:rsidRPr="00447F64">
              <w:rPr>
                <w:rFonts w:ascii="Arial" w:hAnsi="Arial" w:cs="Arial"/>
                <w:i/>
                <w:iCs/>
              </w:rPr>
              <w:t xml:space="preserve"> </w:t>
            </w:r>
            <w:proofErr w:type="spellStart"/>
            <w:r w:rsidRPr="00447F64">
              <w:rPr>
                <w:rFonts w:ascii="Arial" w:hAnsi="Arial" w:cs="Arial"/>
                <w:i/>
                <w:iCs/>
              </w:rPr>
              <w:t>business</w:t>
            </w:r>
            <w:proofErr w:type="spellEnd"/>
            <w:r w:rsidRPr="00447F64">
              <w:rPr>
                <w:rFonts w:ascii="Arial" w:hAnsi="Arial" w:cs="Arial"/>
                <w:i/>
                <w:iCs/>
              </w:rPr>
              <w:t xml:space="preserve"> of </w:t>
            </w:r>
            <w:proofErr w:type="spellStart"/>
            <w:r w:rsidRPr="00447F64">
              <w:rPr>
                <w:rFonts w:ascii="Arial" w:hAnsi="Arial" w:cs="Arial"/>
                <w:i/>
                <w:iCs/>
              </w:rPr>
              <w:t>credit</w:t>
            </w:r>
            <w:proofErr w:type="spellEnd"/>
            <w:r w:rsidRPr="00447F64">
              <w:rPr>
                <w:rFonts w:ascii="Arial" w:hAnsi="Arial" w:cs="Arial"/>
                <w:i/>
                <w:iCs/>
              </w:rPr>
              <w:t xml:space="preserve"> </w:t>
            </w:r>
            <w:proofErr w:type="spellStart"/>
            <w:r w:rsidRPr="00447F64">
              <w:rPr>
                <w:rFonts w:ascii="Arial" w:hAnsi="Arial" w:cs="Arial"/>
                <w:i/>
                <w:iCs/>
              </w:rPr>
              <w:t>institutions</w:t>
            </w:r>
            <w:proofErr w:type="spellEnd"/>
            <w:r w:rsidRPr="00447F64">
              <w:rPr>
                <w:rFonts w:ascii="Arial" w:hAnsi="Arial" w:cs="Arial"/>
                <w:i/>
                <w:iCs/>
              </w:rPr>
              <w:t xml:space="preserve"> (</w:t>
            </w:r>
            <w:proofErr w:type="spellStart"/>
            <w:r w:rsidRPr="00447F64">
              <w:rPr>
                <w:rFonts w:ascii="Arial" w:hAnsi="Arial" w:cs="Arial"/>
                <w:i/>
                <w:iCs/>
              </w:rPr>
              <w:t>recast</w:t>
            </w:r>
            <w:proofErr w:type="spellEnd"/>
            <w:r w:rsidRPr="00447F64">
              <w:rPr>
                <w:rFonts w:ascii="Arial" w:hAnsi="Arial" w:cs="Arial"/>
                <w:i/>
                <w:iCs/>
              </w:rPr>
              <w:t>), OJ L 177, 30.6.2006, p. 1</w:t>
            </w:r>
            <w:r w:rsidRPr="00447F64">
              <w:rPr>
                <w:rFonts w:ascii="Arial" w:hAnsi="Arial" w:cs="Arial"/>
              </w:rPr>
              <w:t xml:space="preserve">) með áorðnum breytingum samkvæmt tilskipun framkvæmdastjórnarinnar 2009/83/EB frá 27. júlí 2009 um breytingu á tilteknum viðaukum við tilskipun Evrópuþingsins </w:t>
            </w:r>
            <w:r w:rsidRPr="00447F64">
              <w:rPr>
                <w:rFonts w:ascii="Arial" w:hAnsi="Arial" w:cs="Arial"/>
              </w:rPr>
              <w:lastRenderedPageBreak/>
              <w:t>og ráðsins 2006/48/EB að því er varðar tæknileg ákvæði um áhættustýringu (</w:t>
            </w:r>
            <w:r w:rsidRPr="00447F64">
              <w:rPr>
                <w:rFonts w:ascii="Arial" w:hAnsi="Arial" w:cs="Arial"/>
                <w:i/>
                <w:iCs/>
              </w:rPr>
              <w:t xml:space="preserve">e. </w:t>
            </w:r>
            <w:proofErr w:type="spellStart"/>
            <w:r w:rsidRPr="00447F64">
              <w:rPr>
                <w:rFonts w:ascii="Arial" w:hAnsi="Arial" w:cs="Arial"/>
                <w:i/>
                <w:iCs/>
              </w:rPr>
              <w:t>Commission</w:t>
            </w:r>
            <w:proofErr w:type="spellEnd"/>
            <w:r w:rsidRPr="00447F64">
              <w:rPr>
                <w:rFonts w:ascii="Arial" w:hAnsi="Arial" w:cs="Arial"/>
                <w:i/>
                <w:iCs/>
              </w:rPr>
              <w:t xml:space="preserve"> </w:t>
            </w:r>
            <w:proofErr w:type="spellStart"/>
            <w:r w:rsidRPr="00447F64">
              <w:rPr>
                <w:rFonts w:ascii="Arial" w:hAnsi="Arial" w:cs="Arial"/>
                <w:i/>
                <w:iCs/>
              </w:rPr>
              <w:t>Directive</w:t>
            </w:r>
            <w:proofErr w:type="spellEnd"/>
            <w:r w:rsidRPr="00447F64">
              <w:rPr>
                <w:rFonts w:ascii="Arial" w:hAnsi="Arial" w:cs="Arial"/>
                <w:i/>
                <w:iCs/>
              </w:rPr>
              <w:t xml:space="preserve"> 2009/83/EC of 27 </w:t>
            </w:r>
            <w:proofErr w:type="spellStart"/>
            <w:r w:rsidRPr="00447F64">
              <w:rPr>
                <w:rFonts w:ascii="Arial" w:hAnsi="Arial" w:cs="Arial"/>
                <w:i/>
                <w:iCs/>
              </w:rPr>
              <w:t>July</w:t>
            </w:r>
            <w:proofErr w:type="spellEnd"/>
            <w:r w:rsidRPr="00447F64">
              <w:rPr>
                <w:rFonts w:ascii="Arial" w:hAnsi="Arial" w:cs="Arial"/>
                <w:i/>
                <w:iCs/>
              </w:rPr>
              <w:t xml:space="preserve"> 2009 </w:t>
            </w:r>
            <w:proofErr w:type="spellStart"/>
            <w:r w:rsidRPr="00447F64">
              <w:rPr>
                <w:rFonts w:ascii="Arial" w:hAnsi="Arial" w:cs="Arial"/>
                <w:i/>
                <w:iCs/>
              </w:rPr>
              <w:t>amending</w:t>
            </w:r>
            <w:proofErr w:type="spellEnd"/>
            <w:r w:rsidRPr="00447F64">
              <w:rPr>
                <w:rFonts w:ascii="Arial" w:hAnsi="Arial" w:cs="Arial"/>
                <w:i/>
                <w:iCs/>
              </w:rPr>
              <w:t xml:space="preserve"> </w:t>
            </w:r>
            <w:proofErr w:type="spellStart"/>
            <w:r w:rsidRPr="00447F64">
              <w:rPr>
                <w:rFonts w:ascii="Arial" w:hAnsi="Arial" w:cs="Arial"/>
                <w:i/>
                <w:iCs/>
              </w:rPr>
              <w:t>certain</w:t>
            </w:r>
            <w:proofErr w:type="spellEnd"/>
            <w:r w:rsidRPr="00447F64">
              <w:rPr>
                <w:rFonts w:ascii="Arial" w:hAnsi="Arial" w:cs="Arial"/>
                <w:i/>
                <w:iCs/>
              </w:rPr>
              <w:t xml:space="preserve"> </w:t>
            </w:r>
            <w:proofErr w:type="spellStart"/>
            <w:r w:rsidRPr="00447F64">
              <w:rPr>
                <w:rFonts w:ascii="Arial" w:hAnsi="Arial" w:cs="Arial"/>
                <w:i/>
                <w:iCs/>
              </w:rPr>
              <w:t>Annexes</w:t>
            </w:r>
            <w:proofErr w:type="spellEnd"/>
            <w:r w:rsidRPr="00447F64">
              <w:rPr>
                <w:rFonts w:ascii="Arial" w:hAnsi="Arial" w:cs="Arial"/>
                <w:i/>
                <w:iCs/>
              </w:rPr>
              <w:t xml:space="preserve"> to </w:t>
            </w:r>
            <w:proofErr w:type="spellStart"/>
            <w:r w:rsidRPr="00447F64">
              <w:rPr>
                <w:rFonts w:ascii="Arial" w:hAnsi="Arial" w:cs="Arial"/>
                <w:i/>
                <w:iCs/>
              </w:rPr>
              <w:t>Directive</w:t>
            </w:r>
            <w:proofErr w:type="spellEnd"/>
            <w:r w:rsidRPr="00447F64">
              <w:rPr>
                <w:rFonts w:ascii="Arial" w:hAnsi="Arial" w:cs="Arial"/>
                <w:i/>
                <w:iCs/>
              </w:rPr>
              <w:t xml:space="preserve"> 2006/48/EC of </w:t>
            </w:r>
            <w:proofErr w:type="spellStart"/>
            <w:r w:rsidRPr="00447F64">
              <w:rPr>
                <w:rFonts w:ascii="Arial" w:hAnsi="Arial" w:cs="Arial"/>
                <w:i/>
                <w:iCs/>
              </w:rPr>
              <w:t>the</w:t>
            </w:r>
            <w:proofErr w:type="spellEnd"/>
            <w:r w:rsidRPr="00447F64">
              <w:rPr>
                <w:rFonts w:ascii="Arial" w:hAnsi="Arial" w:cs="Arial"/>
                <w:i/>
                <w:iCs/>
              </w:rPr>
              <w:t xml:space="preserve"> </w:t>
            </w:r>
            <w:proofErr w:type="spellStart"/>
            <w:r w:rsidRPr="00447F64">
              <w:rPr>
                <w:rFonts w:ascii="Arial" w:hAnsi="Arial" w:cs="Arial"/>
                <w:i/>
                <w:iCs/>
              </w:rPr>
              <w:t>European</w:t>
            </w:r>
            <w:proofErr w:type="spellEnd"/>
            <w:r w:rsidRPr="00447F64">
              <w:rPr>
                <w:rFonts w:ascii="Arial" w:hAnsi="Arial" w:cs="Arial"/>
                <w:i/>
                <w:iCs/>
              </w:rPr>
              <w:t xml:space="preserve"> </w:t>
            </w:r>
            <w:proofErr w:type="spellStart"/>
            <w:r w:rsidRPr="00447F64">
              <w:rPr>
                <w:rFonts w:ascii="Arial" w:hAnsi="Arial" w:cs="Arial"/>
                <w:i/>
                <w:iCs/>
              </w:rPr>
              <w:t>Parliament</w:t>
            </w:r>
            <w:proofErr w:type="spellEnd"/>
            <w:r w:rsidRPr="00447F64">
              <w:rPr>
                <w:rFonts w:ascii="Arial" w:hAnsi="Arial" w:cs="Arial"/>
                <w:i/>
                <w:iCs/>
              </w:rPr>
              <w:t xml:space="preserve"> and of </w:t>
            </w:r>
            <w:proofErr w:type="spellStart"/>
            <w:r w:rsidRPr="00447F64">
              <w:rPr>
                <w:rFonts w:ascii="Arial" w:hAnsi="Arial" w:cs="Arial"/>
                <w:i/>
                <w:iCs/>
              </w:rPr>
              <w:t>the</w:t>
            </w:r>
            <w:proofErr w:type="spellEnd"/>
            <w:r w:rsidRPr="00447F64">
              <w:rPr>
                <w:rFonts w:ascii="Arial" w:hAnsi="Arial" w:cs="Arial"/>
                <w:i/>
                <w:iCs/>
              </w:rPr>
              <w:t xml:space="preserve"> </w:t>
            </w:r>
            <w:proofErr w:type="spellStart"/>
            <w:r w:rsidRPr="00447F64">
              <w:rPr>
                <w:rFonts w:ascii="Arial" w:hAnsi="Arial" w:cs="Arial"/>
                <w:i/>
                <w:iCs/>
              </w:rPr>
              <w:t>Council</w:t>
            </w:r>
            <w:proofErr w:type="spellEnd"/>
            <w:r w:rsidRPr="00447F64">
              <w:rPr>
                <w:rFonts w:ascii="Arial" w:hAnsi="Arial" w:cs="Arial"/>
                <w:i/>
                <w:iCs/>
              </w:rPr>
              <w:t xml:space="preserve"> </w:t>
            </w:r>
            <w:proofErr w:type="spellStart"/>
            <w:r w:rsidRPr="00447F64">
              <w:rPr>
                <w:rFonts w:ascii="Arial" w:hAnsi="Arial" w:cs="Arial"/>
                <w:i/>
                <w:iCs/>
              </w:rPr>
              <w:t>as</w:t>
            </w:r>
            <w:proofErr w:type="spellEnd"/>
            <w:r w:rsidRPr="00447F64">
              <w:rPr>
                <w:rFonts w:ascii="Arial" w:hAnsi="Arial" w:cs="Arial"/>
                <w:i/>
                <w:iCs/>
              </w:rPr>
              <w:t xml:space="preserve"> </w:t>
            </w:r>
            <w:proofErr w:type="spellStart"/>
            <w:r w:rsidRPr="00447F64">
              <w:rPr>
                <w:rFonts w:ascii="Arial" w:hAnsi="Arial" w:cs="Arial"/>
                <w:i/>
                <w:iCs/>
              </w:rPr>
              <w:t>regards</w:t>
            </w:r>
            <w:proofErr w:type="spellEnd"/>
            <w:r w:rsidRPr="00447F64">
              <w:rPr>
                <w:rFonts w:ascii="Arial" w:hAnsi="Arial" w:cs="Arial"/>
                <w:i/>
                <w:iCs/>
              </w:rPr>
              <w:t xml:space="preserve"> </w:t>
            </w:r>
            <w:proofErr w:type="spellStart"/>
            <w:r w:rsidRPr="00447F64">
              <w:rPr>
                <w:rFonts w:ascii="Arial" w:hAnsi="Arial" w:cs="Arial"/>
                <w:i/>
                <w:iCs/>
              </w:rPr>
              <w:t>technical</w:t>
            </w:r>
            <w:proofErr w:type="spellEnd"/>
            <w:r w:rsidRPr="00447F64">
              <w:rPr>
                <w:rFonts w:ascii="Arial" w:hAnsi="Arial" w:cs="Arial"/>
                <w:i/>
                <w:iCs/>
              </w:rPr>
              <w:t xml:space="preserve"> </w:t>
            </w:r>
            <w:proofErr w:type="spellStart"/>
            <w:r w:rsidRPr="00447F64">
              <w:rPr>
                <w:rFonts w:ascii="Arial" w:hAnsi="Arial" w:cs="Arial"/>
                <w:i/>
                <w:iCs/>
              </w:rPr>
              <w:t>provisions</w:t>
            </w:r>
            <w:proofErr w:type="spellEnd"/>
            <w:r w:rsidRPr="00447F64">
              <w:rPr>
                <w:rFonts w:ascii="Arial" w:hAnsi="Arial" w:cs="Arial"/>
                <w:i/>
                <w:iCs/>
              </w:rPr>
              <w:t xml:space="preserve"> </w:t>
            </w:r>
            <w:proofErr w:type="spellStart"/>
            <w:r w:rsidRPr="00447F64">
              <w:rPr>
                <w:rFonts w:ascii="Arial" w:hAnsi="Arial" w:cs="Arial"/>
                <w:i/>
                <w:iCs/>
              </w:rPr>
              <w:t>concerning</w:t>
            </w:r>
            <w:proofErr w:type="spellEnd"/>
            <w:r w:rsidRPr="00447F64">
              <w:rPr>
                <w:rFonts w:ascii="Arial" w:hAnsi="Arial" w:cs="Arial"/>
                <w:i/>
                <w:iCs/>
              </w:rPr>
              <w:t xml:space="preserve"> risk management, OJ L 196, 28.7.2009, p. 14</w:t>
            </w:r>
            <w:r w:rsidRPr="00447F64">
              <w:rPr>
                <w:rFonts w:ascii="Arial" w:hAnsi="Arial" w:cs="Arial"/>
              </w:rPr>
              <w:t>):</w:t>
            </w:r>
          </w:p>
          <w:p w:rsidR="00786B63" w:rsidRPr="00447F64" w:rsidRDefault="00786B63" w:rsidP="00447F64">
            <w:pPr>
              <w:pStyle w:val="NormalWeb"/>
              <w:jc w:val="both"/>
              <w:rPr>
                <w:rFonts w:ascii="Arial" w:hAnsi="Arial" w:cs="Arial"/>
                <w:i/>
                <w:iCs/>
              </w:rPr>
            </w:pPr>
            <w:r w:rsidRPr="00447F64">
              <w:rPr>
                <w:rFonts w:ascii="Arial" w:hAnsi="Arial" w:cs="Arial"/>
              </w:rPr>
              <w:t>VIÐAUKI III – Meðhöndlun mótaðilaáhættu vegna afleiðusamninga, endurkaupa</w:t>
            </w:r>
            <w:r w:rsidRPr="00447F64">
              <w:rPr>
                <w:rFonts w:ascii="Arial" w:hAnsi="Arial" w:cs="Arial"/>
              </w:rPr>
              <w:softHyphen/>
              <w:t xml:space="preserve">samninga, verðbréfa- eða hrávörulánveitinga/lántöku, langra samninga með afhendingu og viðbótarlánveitinga vegna kaupa/sölu verðbréfa </w:t>
            </w:r>
            <w:r w:rsidRPr="00447F64">
              <w:rPr>
                <w:rFonts w:ascii="Arial" w:hAnsi="Arial" w:cs="Arial"/>
                <w:i/>
                <w:iCs/>
              </w:rPr>
              <w:t xml:space="preserve">(e. ANNEX III - </w:t>
            </w:r>
            <w:proofErr w:type="spellStart"/>
            <w:r w:rsidRPr="00447F64">
              <w:rPr>
                <w:rFonts w:ascii="Arial" w:hAnsi="Arial" w:cs="Arial"/>
                <w:i/>
                <w:iCs/>
              </w:rPr>
              <w:t>The</w:t>
            </w:r>
            <w:proofErr w:type="spellEnd"/>
            <w:r w:rsidRPr="00447F64">
              <w:rPr>
                <w:rFonts w:ascii="Arial" w:hAnsi="Arial" w:cs="Arial"/>
                <w:i/>
                <w:iCs/>
              </w:rPr>
              <w:t xml:space="preserve"> </w:t>
            </w:r>
            <w:proofErr w:type="spellStart"/>
            <w:r w:rsidRPr="00447F64">
              <w:rPr>
                <w:rFonts w:ascii="Arial" w:hAnsi="Arial" w:cs="Arial"/>
                <w:i/>
                <w:iCs/>
              </w:rPr>
              <w:t>treatment</w:t>
            </w:r>
            <w:proofErr w:type="spellEnd"/>
            <w:r w:rsidRPr="00447F64">
              <w:rPr>
                <w:rFonts w:ascii="Arial" w:hAnsi="Arial" w:cs="Arial"/>
                <w:i/>
                <w:iCs/>
              </w:rPr>
              <w:t xml:space="preserve"> of </w:t>
            </w:r>
            <w:proofErr w:type="spellStart"/>
            <w:r w:rsidRPr="00447F64">
              <w:rPr>
                <w:rFonts w:ascii="Arial" w:hAnsi="Arial" w:cs="Arial"/>
                <w:i/>
                <w:iCs/>
              </w:rPr>
              <w:t>counterparty</w:t>
            </w:r>
            <w:proofErr w:type="spellEnd"/>
            <w:r w:rsidRPr="00447F64">
              <w:rPr>
                <w:rFonts w:ascii="Arial" w:hAnsi="Arial" w:cs="Arial"/>
                <w:i/>
                <w:iCs/>
              </w:rPr>
              <w:t xml:space="preserve"> </w:t>
            </w:r>
            <w:proofErr w:type="spellStart"/>
            <w:r w:rsidRPr="00447F64">
              <w:rPr>
                <w:rFonts w:ascii="Arial" w:hAnsi="Arial" w:cs="Arial"/>
                <w:i/>
                <w:iCs/>
              </w:rPr>
              <w:t>credit</w:t>
            </w:r>
            <w:proofErr w:type="spellEnd"/>
            <w:r w:rsidRPr="00447F64">
              <w:rPr>
                <w:rFonts w:ascii="Arial" w:hAnsi="Arial" w:cs="Arial"/>
                <w:i/>
                <w:iCs/>
              </w:rPr>
              <w:t xml:space="preserve"> risk of </w:t>
            </w:r>
            <w:proofErr w:type="spellStart"/>
            <w:r w:rsidRPr="00447F64">
              <w:rPr>
                <w:rFonts w:ascii="Arial" w:hAnsi="Arial" w:cs="Arial"/>
                <w:i/>
                <w:iCs/>
              </w:rPr>
              <w:t>derivative</w:t>
            </w:r>
            <w:proofErr w:type="spellEnd"/>
            <w:r w:rsidRPr="00447F64">
              <w:rPr>
                <w:rFonts w:ascii="Arial" w:hAnsi="Arial" w:cs="Arial"/>
                <w:i/>
                <w:iCs/>
              </w:rPr>
              <w:t xml:space="preserve"> </w:t>
            </w:r>
            <w:proofErr w:type="spellStart"/>
            <w:r w:rsidRPr="00447F64">
              <w:rPr>
                <w:rFonts w:ascii="Arial" w:hAnsi="Arial" w:cs="Arial"/>
                <w:i/>
                <w:iCs/>
              </w:rPr>
              <w:t>instruments</w:t>
            </w:r>
            <w:proofErr w:type="spellEnd"/>
            <w:r w:rsidRPr="00447F64">
              <w:rPr>
                <w:rFonts w:ascii="Arial" w:hAnsi="Arial" w:cs="Arial"/>
                <w:i/>
                <w:iCs/>
              </w:rPr>
              <w:t xml:space="preserve">, </w:t>
            </w:r>
            <w:proofErr w:type="spellStart"/>
            <w:r w:rsidRPr="00447F64">
              <w:rPr>
                <w:rFonts w:ascii="Arial" w:hAnsi="Arial" w:cs="Arial"/>
                <w:i/>
                <w:iCs/>
              </w:rPr>
              <w:t>repurchase</w:t>
            </w:r>
            <w:proofErr w:type="spellEnd"/>
            <w:r w:rsidRPr="00447F64">
              <w:rPr>
                <w:rFonts w:ascii="Arial" w:hAnsi="Arial" w:cs="Arial"/>
                <w:i/>
                <w:iCs/>
              </w:rPr>
              <w:t xml:space="preserve"> </w:t>
            </w:r>
            <w:proofErr w:type="spellStart"/>
            <w:r w:rsidRPr="00447F64">
              <w:rPr>
                <w:rFonts w:ascii="Arial" w:hAnsi="Arial" w:cs="Arial"/>
                <w:i/>
                <w:iCs/>
              </w:rPr>
              <w:t>transactions</w:t>
            </w:r>
            <w:proofErr w:type="spellEnd"/>
            <w:r w:rsidRPr="00447F64">
              <w:rPr>
                <w:rFonts w:ascii="Arial" w:hAnsi="Arial" w:cs="Arial"/>
                <w:i/>
                <w:iCs/>
              </w:rPr>
              <w:t xml:space="preserve">, securities </w:t>
            </w:r>
            <w:proofErr w:type="spellStart"/>
            <w:r w:rsidRPr="00447F64">
              <w:rPr>
                <w:rFonts w:ascii="Arial" w:hAnsi="Arial" w:cs="Arial"/>
                <w:i/>
                <w:iCs/>
              </w:rPr>
              <w:t>or</w:t>
            </w:r>
            <w:proofErr w:type="spellEnd"/>
            <w:r w:rsidRPr="00447F64">
              <w:rPr>
                <w:rFonts w:ascii="Arial" w:hAnsi="Arial" w:cs="Arial"/>
                <w:i/>
                <w:iCs/>
              </w:rPr>
              <w:t xml:space="preserve"> </w:t>
            </w:r>
            <w:proofErr w:type="spellStart"/>
            <w:r w:rsidRPr="00447F64">
              <w:rPr>
                <w:rFonts w:ascii="Arial" w:hAnsi="Arial" w:cs="Arial"/>
                <w:i/>
                <w:iCs/>
              </w:rPr>
              <w:t>commodities</w:t>
            </w:r>
            <w:proofErr w:type="spellEnd"/>
            <w:r w:rsidRPr="00447F64">
              <w:rPr>
                <w:rFonts w:ascii="Arial" w:hAnsi="Arial" w:cs="Arial"/>
                <w:i/>
                <w:iCs/>
              </w:rPr>
              <w:t xml:space="preserve"> lending </w:t>
            </w:r>
            <w:proofErr w:type="spellStart"/>
            <w:r w:rsidRPr="00447F64">
              <w:rPr>
                <w:rFonts w:ascii="Arial" w:hAnsi="Arial" w:cs="Arial"/>
                <w:i/>
                <w:iCs/>
              </w:rPr>
              <w:t>or</w:t>
            </w:r>
            <w:proofErr w:type="spellEnd"/>
            <w:r w:rsidRPr="00447F64">
              <w:rPr>
                <w:rFonts w:ascii="Arial" w:hAnsi="Arial" w:cs="Arial"/>
                <w:i/>
                <w:iCs/>
              </w:rPr>
              <w:t xml:space="preserve"> </w:t>
            </w:r>
            <w:proofErr w:type="spellStart"/>
            <w:r w:rsidRPr="00447F64">
              <w:rPr>
                <w:rFonts w:ascii="Arial" w:hAnsi="Arial" w:cs="Arial"/>
                <w:i/>
                <w:iCs/>
              </w:rPr>
              <w:t>borrowing</w:t>
            </w:r>
            <w:proofErr w:type="spellEnd"/>
            <w:r w:rsidRPr="00447F64">
              <w:rPr>
                <w:rFonts w:ascii="Arial" w:hAnsi="Arial" w:cs="Arial"/>
                <w:i/>
                <w:iCs/>
              </w:rPr>
              <w:t xml:space="preserve"> </w:t>
            </w:r>
            <w:proofErr w:type="spellStart"/>
            <w:r w:rsidRPr="00447F64">
              <w:rPr>
                <w:rFonts w:ascii="Arial" w:hAnsi="Arial" w:cs="Arial"/>
                <w:i/>
                <w:iCs/>
              </w:rPr>
              <w:t>transactions</w:t>
            </w:r>
            <w:proofErr w:type="spellEnd"/>
            <w:r w:rsidRPr="00447F64">
              <w:rPr>
                <w:rFonts w:ascii="Arial" w:hAnsi="Arial" w:cs="Arial"/>
                <w:i/>
                <w:iCs/>
              </w:rPr>
              <w:t xml:space="preserve">, </w:t>
            </w:r>
            <w:proofErr w:type="spellStart"/>
            <w:r w:rsidRPr="00447F64">
              <w:rPr>
                <w:rFonts w:ascii="Arial" w:hAnsi="Arial" w:cs="Arial"/>
                <w:i/>
                <w:iCs/>
              </w:rPr>
              <w:t>long</w:t>
            </w:r>
            <w:proofErr w:type="spellEnd"/>
            <w:r w:rsidRPr="00447F64">
              <w:rPr>
                <w:rFonts w:ascii="Arial" w:hAnsi="Arial" w:cs="Arial"/>
                <w:i/>
                <w:iCs/>
              </w:rPr>
              <w:t xml:space="preserve"> </w:t>
            </w:r>
            <w:proofErr w:type="spellStart"/>
            <w:r w:rsidRPr="00447F64">
              <w:rPr>
                <w:rFonts w:ascii="Arial" w:hAnsi="Arial" w:cs="Arial"/>
                <w:i/>
                <w:iCs/>
              </w:rPr>
              <w:t>settlement</w:t>
            </w:r>
            <w:proofErr w:type="spellEnd"/>
            <w:r w:rsidRPr="00447F64">
              <w:rPr>
                <w:rFonts w:ascii="Arial" w:hAnsi="Arial" w:cs="Arial"/>
                <w:i/>
                <w:iCs/>
              </w:rPr>
              <w:t xml:space="preserve"> </w:t>
            </w:r>
            <w:proofErr w:type="spellStart"/>
            <w:r w:rsidRPr="00447F64">
              <w:rPr>
                <w:rFonts w:ascii="Arial" w:hAnsi="Arial" w:cs="Arial"/>
                <w:i/>
                <w:iCs/>
              </w:rPr>
              <w:t>transactions</w:t>
            </w:r>
            <w:proofErr w:type="spellEnd"/>
            <w:r w:rsidRPr="00447F64">
              <w:rPr>
                <w:rFonts w:ascii="Arial" w:hAnsi="Arial" w:cs="Arial"/>
                <w:i/>
                <w:iCs/>
              </w:rPr>
              <w:t xml:space="preserve"> and margin lending </w:t>
            </w:r>
            <w:proofErr w:type="spellStart"/>
            <w:r w:rsidRPr="00447F64">
              <w:rPr>
                <w:rFonts w:ascii="Arial" w:hAnsi="Arial" w:cs="Arial"/>
                <w:i/>
                <w:iCs/>
              </w:rPr>
              <w:t>transactions</w:t>
            </w:r>
            <w:proofErr w:type="spellEnd"/>
            <w:r w:rsidRPr="00447F64">
              <w:rPr>
                <w:rFonts w:ascii="Arial" w:hAnsi="Arial" w:cs="Arial"/>
                <w:i/>
                <w:iCs/>
              </w:rPr>
              <w:t xml:space="preserve">) </w:t>
            </w:r>
          </w:p>
          <w:p w:rsidR="00786B63" w:rsidRPr="00447F64" w:rsidRDefault="00786B63" w:rsidP="00447F64">
            <w:pPr>
              <w:pStyle w:val="NormalWeb"/>
              <w:jc w:val="both"/>
              <w:rPr>
                <w:rFonts w:ascii="Arial" w:hAnsi="Arial" w:cs="Arial"/>
                <w:i/>
                <w:iCs/>
              </w:rPr>
            </w:pPr>
            <w:r w:rsidRPr="00447F64">
              <w:rPr>
                <w:rFonts w:ascii="Arial" w:hAnsi="Arial" w:cs="Arial"/>
              </w:rPr>
              <w:t xml:space="preserve">VIÐAUKI V – Tæknileg viðmið vegna fyrirkomulags og meðferðar áhættu </w:t>
            </w:r>
            <w:r w:rsidRPr="00447F64">
              <w:rPr>
                <w:rFonts w:ascii="Arial" w:hAnsi="Arial" w:cs="Arial"/>
                <w:i/>
                <w:iCs/>
              </w:rPr>
              <w:t xml:space="preserve">(e. ANNEX V - </w:t>
            </w:r>
            <w:proofErr w:type="spellStart"/>
            <w:r w:rsidRPr="00447F64">
              <w:rPr>
                <w:rFonts w:ascii="Arial" w:hAnsi="Arial" w:cs="Arial"/>
                <w:i/>
                <w:iCs/>
              </w:rPr>
              <w:t>Technical</w:t>
            </w:r>
            <w:proofErr w:type="spellEnd"/>
            <w:r w:rsidRPr="00447F64">
              <w:rPr>
                <w:rFonts w:ascii="Arial" w:hAnsi="Arial" w:cs="Arial"/>
                <w:i/>
                <w:iCs/>
              </w:rPr>
              <w:t xml:space="preserve"> </w:t>
            </w:r>
            <w:proofErr w:type="spellStart"/>
            <w:r w:rsidRPr="00447F64">
              <w:rPr>
                <w:rFonts w:ascii="Arial" w:hAnsi="Arial" w:cs="Arial"/>
                <w:i/>
                <w:iCs/>
              </w:rPr>
              <w:t>criteria</w:t>
            </w:r>
            <w:proofErr w:type="spellEnd"/>
            <w:r w:rsidRPr="00447F64">
              <w:rPr>
                <w:rFonts w:ascii="Arial" w:hAnsi="Arial" w:cs="Arial"/>
                <w:i/>
                <w:iCs/>
              </w:rPr>
              <w:t xml:space="preserve"> </w:t>
            </w:r>
            <w:proofErr w:type="spellStart"/>
            <w:r w:rsidRPr="00447F64">
              <w:rPr>
                <w:rFonts w:ascii="Arial" w:hAnsi="Arial" w:cs="Arial"/>
                <w:i/>
                <w:iCs/>
              </w:rPr>
              <w:t>concerning</w:t>
            </w:r>
            <w:proofErr w:type="spellEnd"/>
            <w:r w:rsidRPr="00447F64">
              <w:rPr>
                <w:rFonts w:ascii="Arial" w:hAnsi="Arial" w:cs="Arial"/>
                <w:i/>
                <w:iCs/>
              </w:rPr>
              <w:t xml:space="preserve"> </w:t>
            </w:r>
            <w:proofErr w:type="spellStart"/>
            <w:r w:rsidRPr="00447F64">
              <w:rPr>
                <w:rFonts w:ascii="Arial" w:hAnsi="Arial" w:cs="Arial"/>
                <w:i/>
                <w:iCs/>
              </w:rPr>
              <w:t>the</w:t>
            </w:r>
            <w:proofErr w:type="spellEnd"/>
            <w:r w:rsidRPr="00447F64">
              <w:rPr>
                <w:rFonts w:ascii="Arial" w:hAnsi="Arial" w:cs="Arial"/>
                <w:i/>
                <w:iCs/>
              </w:rPr>
              <w:t xml:space="preserve"> </w:t>
            </w:r>
            <w:proofErr w:type="spellStart"/>
            <w:r w:rsidRPr="00447F64">
              <w:rPr>
                <w:rFonts w:ascii="Arial" w:hAnsi="Arial" w:cs="Arial"/>
                <w:i/>
                <w:iCs/>
              </w:rPr>
              <w:t>organisation</w:t>
            </w:r>
            <w:proofErr w:type="spellEnd"/>
            <w:r w:rsidRPr="00447F64">
              <w:rPr>
                <w:rFonts w:ascii="Arial" w:hAnsi="Arial" w:cs="Arial"/>
                <w:i/>
                <w:iCs/>
              </w:rPr>
              <w:t xml:space="preserve"> and </w:t>
            </w:r>
            <w:proofErr w:type="spellStart"/>
            <w:r w:rsidRPr="00447F64">
              <w:rPr>
                <w:rFonts w:ascii="Arial" w:hAnsi="Arial" w:cs="Arial"/>
                <w:i/>
                <w:iCs/>
              </w:rPr>
              <w:t>treatment</w:t>
            </w:r>
            <w:proofErr w:type="spellEnd"/>
            <w:r w:rsidRPr="00447F64">
              <w:rPr>
                <w:rFonts w:ascii="Arial" w:hAnsi="Arial" w:cs="Arial"/>
                <w:i/>
                <w:iCs/>
              </w:rPr>
              <w:t xml:space="preserve"> of </w:t>
            </w:r>
            <w:proofErr w:type="spellStart"/>
            <w:r w:rsidRPr="00447F64">
              <w:rPr>
                <w:rFonts w:ascii="Arial" w:hAnsi="Arial" w:cs="Arial"/>
                <w:i/>
                <w:iCs/>
              </w:rPr>
              <w:t>risks</w:t>
            </w:r>
            <w:proofErr w:type="spellEnd"/>
            <w:r w:rsidRPr="00447F64">
              <w:rPr>
                <w:rFonts w:ascii="Arial" w:hAnsi="Arial" w:cs="Arial"/>
                <w:i/>
                <w:iCs/>
              </w:rPr>
              <w:t xml:space="preserve">) </w:t>
            </w:r>
          </w:p>
          <w:p w:rsidR="00786B63" w:rsidRPr="00447F64" w:rsidRDefault="00786B63" w:rsidP="00447F64">
            <w:pPr>
              <w:pStyle w:val="NormalWeb"/>
              <w:jc w:val="both"/>
              <w:rPr>
                <w:rFonts w:ascii="Arial" w:hAnsi="Arial" w:cs="Arial"/>
                <w:i/>
                <w:iCs/>
              </w:rPr>
            </w:pPr>
            <w:r w:rsidRPr="00447F64">
              <w:rPr>
                <w:rFonts w:ascii="Arial" w:hAnsi="Arial" w:cs="Arial"/>
              </w:rPr>
              <w:t xml:space="preserve">VIÐAUKI VII – Innramatsaðferð </w:t>
            </w:r>
            <w:r w:rsidRPr="00447F64">
              <w:rPr>
                <w:rFonts w:ascii="Arial" w:hAnsi="Arial" w:cs="Arial"/>
                <w:i/>
                <w:iCs/>
              </w:rPr>
              <w:t xml:space="preserve">(e. ANNEX VII - </w:t>
            </w:r>
            <w:proofErr w:type="spellStart"/>
            <w:r w:rsidRPr="00447F64">
              <w:rPr>
                <w:rFonts w:ascii="Arial" w:hAnsi="Arial" w:cs="Arial"/>
                <w:i/>
                <w:iCs/>
              </w:rPr>
              <w:t>Internal</w:t>
            </w:r>
            <w:proofErr w:type="spellEnd"/>
            <w:r w:rsidRPr="00447F64">
              <w:rPr>
                <w:rFonts w:ascii="Arial" w:hAnsi="Arial" w:cs="Arial"/>
                <w:i/>
                <w:iCs/>
              </w:rPr>
              <w:t xml:space="preserve"> </w:t>
            </w:r>
            <w:proofErr w:type="spellStart"/>
            <w:r w:rsidRPr="00447F64">
              <w:rPr>
                <w:rFonts w:ascii="Arial" w:hAnsi="Arial" w:cs="Arial"/>
                <w:i/>
                <w:iCs/>
              </w:rPr>
              <w:t>ratings</w:t>
            </w:r>
            <w:proofErr w:type="spellEnd"/>
            <w:r w:rsidRPr="00447F64">
              <w:rPr>
                <w:rFonts w:ascii="Arial" w:hAnsi="Arial" w:cs="Arial"/>
                <w:i/>
                <w:iCs/>
              </w:rPr>
              <w:t xml:space="preserve"> </w:t>
            </w:r>
            <w:proofErr w:type="spellStart"/>
            <w:r w:rsidRPr="00447F64">
              <w:rPr>
                <w:rFonts w:ascii="Arial" w:hAnsi="Arial" w:cs="Arial"/>
                <w:i/>
                <w:iCs/>
              </w:rPr>
              <w:t>based</w:t>
            </w:r>
            <w:proofErr w:type="spellEnd"/>
            <w:r w:rsidRPr="00447F64">
              <w:rPr>
                <w:rFonts w:ascii="Arial" w:hAnsi="Arial" w:cs="Arial"/>
                <w:i/>
                <w:iCs/>
              </w:rPr>
              <w:t xml:space="preserve"> </w:t>
            </w:r>
            <w:proofErr w:type="spellStart"/>
            <w:r w:rsidRPr="00447F64">
              <w:rPr>
                <w:rFonts w:ascii="Arial" w:hAnsi="Arial" w:cs="Arial"/>
                <w:i/>
                <w:iCs/>
              </w:rPr>
              <w:t>approach</w:t>
            </w:r>
            <w:proofErr w:type="spellEnd"/>
            <w:r w:rsidRPr="00447F64">
              <w:rPr>
                <w:rFonts w:ascii="Arial" w:hAnsi="Arial" w:cs="Arial"/>
                <w:i/>
                <w:iCs/>
              </w:rPr>
              <w:t xml:space="preserve">) </w:t>
            </w:r>
          </w:p>
          <w:p w:rsidR="00786B63" w:rsidRPr="00447F64" w:rsidRDefault="00786B63" w:rsidP="00447F64">
            <w:pPr>
              <w:pStyle w:val="NormalWeb"/>
              <w:jc w:val="both"/>
              <w:rPr>
                <w:rFonts w:ascii="Arial" w:hAnsi="Arial" w:cs="Arial"/>
                <w:i/>
                <w:iCs/>
              </w:rPr>
            </w:pPr>
            <w:r w:rsidRPr="00447F64">
              <w:rPr>
                <w:rFonts w:ascii="Arial" w:hAnsi="Arial" w:cs="Arial"/>
              </w:rPr>
              <w:t xml:space="preserve">VIÐAUKI VIII – Mildun útlánaáhættu </w:t>
            </w:r>
            <w:r w:rsidRPr="00447F64">
              <w:rPr>
                <w:rFonts w:ascii="Arial" w:hAnsi="Arial" w:cs="Arial"/>
                <w:i/>
                <w:iCs/>
              </w:rPr>
              <w:t xml:space="preserve">(e. ANNEX VIII - </w:t>
            </w:r>
            <w:proofErr w:type="spellStart"/>
            <w:r w:rsidRPr="00447F64">
              <w:rPr>
                <w:rFonts w:ascii="Arial" w:hAnsi="Arial" w:cs="Arial"/>
                <w:i/>
                <w:iCs/>
              </w:rPr>
              <w:t>Credit</w:t>
            </w:r>
            <w:proofErr w:type="spellEnd"/>
            <w:r w:rsidRPr="00447F64">
              <w:rPr>
                <w:rFonts w:ascii="Arial" w:hAnsi="Arial" w:cs="Arial"/>
                <w:i/>
                <w:iCs/>
              </w:rPr>
              <w:t xml:space="preserve"> risk mitigation) </w:t>
            </w:r>
          </w:p>
          <w:p w:rsidR="00786B63" w:rsidRPr="00447F64" w:rsidRDefault="00786B63" w:rsidP="00447F64">
            <w:pPr>
              <w:pStyle w:val="NormalWeb"/>
              <w:jc w:val="both"/>
              <w:rPr>
                <w:rFonts w:ascii="Arial" w:hAnsi="Arial" w:cs="Arial"/>
                <w:i/>
                <w:iCs/>
              </w:rPr>
            </w:pPr>
            <w:r w:rsidRPr="00447F64">
              <w:rPr>
                <w:rFonts w:ascii="Arial" w:hAnsi="Arial" w:cs="Arial"/>
              </w:rPr>
              <w:t xml:space="preserve">VIÐAUKI IX – </w:t>
            </w:r>
            <w:proofErr w:type="spellStart"/>
            <w:r w:rsidRPr="00447F64">
              <w:rPr>
                <w:rFonts w:ascii="Arial" w:hAnsi="Arial" w:cs="Arial"/>
              </w:rPr>
              <w:t>Verðbréfun</w:t>
            </w:r>
            <w:proofErr w:type="spellEnd"/>
            <w:r w:rsidRPr="00447F64">
              <w:rPr>
                <w:rFonts w:ascii="Arial" w:hAnsi="Arial" w:cs="Arial"/>
              </w:rPr>
              <w:t xml:space="preserve"> </w:t>
            </w:r>
            <w:r w:rsidRPr="00447F64">
              <w:rPr>
                <w:rFonts w:ascii="Arial" w:hAnsi="Arial" w:cs="Arial"/>
                <w:i/>
                <w:iCs/>
              </w:rPr>
              <w:t xml:space="preserve">(e. ANNEX IX – </w:t>
            </w:r>
            <w:proofErr w:type="spellStart"/>
            <w:r w:rsidRPr="00447F64">
              <w:rPr>
                <w:rFonts w:ascii="Arial" w:hAnsi="Arial" w:cs="Arial"/>
                <w:i/>
                <w:iCs/>
              </w:rPr>
              <w:t>Securitisation</w:t>
            </w:r>
            <w:proofErr w:type="spellEnd"/>
            <w:r w:rsidRPr="00447F64">
              <w:rPr>
                <w:rFonts w:ascii="Arial" w:hAnsi="Arial" w:cs="Arial"/>
                <w:i/>
                <w:iCs/>
              </w:rPr>
              <w:t xml:space="preserve">) </w:t>
            </w:r>
          </w:p>
          <w:p w:rsidR="00786B63" w:rsidRPr="00447F64" w:rsidRDefault="00786B63" w:rsidP="00447F64">
            <w:pPr>
              <w:pStyle w:val="NormalWeb"/>
              <w:jc w:val="both"/>
              <w:rPr>
                <w:rFonts w:ascii="Arial" w:hAnsi="Arial" w:cs="Arial"/>
                <w:i/>
                <w:iCs/>
              </w:rPr>
            </w:pPr>
            <w:r w:rsidRPr="00447F64">
              <w:rPr>
                <w:rFonts w:ascii="Arial" w:hAnsi="Arial" w:cs="Arial"/>
              </w:rPr>
              <w:t xml:space="preserve">VIÐAUKI X – Rekstraráhætta </w:t>
            </w:r>
            <w:r w:rsidRPr="00447F64">
              <w:rPr>
                <w:rFonts w:ascii="Arial" w:hAnsi="Arial" w:cs="Arial"/>
                <w:i/>
                <w:iCs/>
              </w:rPr>
              <w:t xml:space="preserve">(e. ANNEX X – </w:t>
            </w:r>
            <w:proofErr w:type="spellStart"/>
            <w:r w:rsidRPr="00447F64">
              <w:rPr>
                <w:rFonts w:ascii="Arial" w:hAnsi="Arial" w:cs="Arial"/>
                <w:i/>
                <w:iCs/>
              </w:rPr>
              <w:t>Operational</w:t>
            </w:r>
            <w:proofErr w:type="spellEnd"/>
            <w:r w:rsidRPr="00447F64">
              <w:rPr>
                <w:rFonts w:ascii="Arial" w:hAnsi="Arial" w:cs="Arial"/>
                <w:i/>
                <w:iCs/>
              </w:rPr>
              <w:t xml:space="preserve"> risk) </w:t>
            </w:r>
          </w:p>
          <w:p w:rsidR="00786B63" w:rsidRPr="00447F64" w:rsidRDefault="00786B63" w:rsidP="00447F64">
            <w:pPr>
              <w:pStyle w:val="NormalWeb"/>
              <w:jc w:val="both"/>
              <w:rPr>
                <w:rFonts w:ascii="Arial" w:hAnsi="Arial" w:cs="Arial"/>
                <w:i/>
                <w:iCs/>
              </w:rPr>
            </w:pPr>
            <w:r w:rsidRPr="00447F64">
              <w:rPr>
                <w:rFonts w:ascii="Arial" w:hAnsi="Arial" w:cs="Arial"/>
              </w:rPr>
              <w:t xml:space="preserve">VIÐAUKI XI – Tæknileg viðmið vegna könnunar og mats þar til bærra yfirvalda </w:t>
            </w:r>
            <w:r w:rsidRPr="00447F64">
              <w:rPr>
                <w:rFonts w:ascii="Arial" w:hAnsi="Arial" w:cs="Arial"/>
                <w:i/>
                <w:iCs/>
              </w:rPr>
              <w:t xml:space="preserve">(e. ANNEX XI – </w:t>
            </w:r>
            <w:proofErr w:type="spellStart"/>
            <w:r w:rsidRPr="00447F64">
              <w:rPr>
                <w:rFonts w:ascii="Arial" w:hAnsi="Arial" w:cs="Arial"/>
                <w:i/>
                <w:iCs/>
              </w:rPr>
              <w:t>Technical</w:t>
            </w:r>
            <w:proofErr w:type="spellEnd"/>
            <w:r w:rsidRPr="00447F64">
              <w:rPr>
                <w:rFonts w:ascii="Arial" w:hAnsi="Arial" w:cs="Arial"/>
                <w:i/>
                <w:iCs/>
              </w:rPr>
              <w:t xml:space="preserve"> </w:t>
            </w:r>
            <w:proofErr w:type="spellStart"/>
            <w:r w:rsidRPr="00447F64">
              <w:rPr>
                <w:rFonts w:ascii="Arial" w:hAnsi="Arial" w:cs="Arial"/>
                <w:i/>
                <w:iCs/>
              </w:rPr>
              <w:t>criteria</w:t>
            </w:r>
            <w:proofErr w:type="spellEnd"/>
            <w:r w:rsidRPr="00447F64">
              <w:rPr>
                <w:rFonts w:ascii="Arial" w:hAnsi="Arial" w:cs="Arial"/>
                <w:i/>
                <w:iCs/>
              </w:rPr>
              <w:t xml:space="preserve"> on </w:t>
            </w:r>
            <w:proofErr w:type="spellStart"/>
            <w:r w:rsidRPr="00447F64">
              <w:rPr>
                <w:rFonts w:ascii="Arial" w:hAnsi="Arial" w:cs="Arial"/>
                <w:i/>
                <w:iCs/>
              </w:rPr>
              <w:t>review</w:t>
            </w:r>
            <w:proofErr w:type="spellEnd"/>
            <w:r w:rsidRPr="00447F64">
              <w:rPr>
                <w:rFonts w:ascii="Arial" w:hAnsi="Arial" w:cs="Arial"/>
                <w:i/>
                <w:iCs/>
              </w:rPr>
              <w:t xml:space="preserve"> and </w:t>
            </w:r>
            <w:proofErr w:type="spellStart"/>
            <w:r w:rsidRPr="00447F64">
              <w:rPr>
                <w:rFonts w:ascii="Arial" w:hAnsi="Arial" w:cs="Arial"/>
                <w:i/>
                <w:iCs/>
              </w:rPr>
              <w:t>evaluation</w:t>
            </w:r>
            <w:proofErr w:type="spellEnd"/>
            <w:r w:rsidRPr="00447F64">
              <w:rPr>
                <w:rFonts w:ascii="Arial" w:hAnsi="Arial" w:cs="Arial"/>
                <w:i/>
                <w:iCs/>
              </w:rPr>
              <w:t xml:space="preserve"> </w:t>
            </w:r>
            <w:proofErr w:type="spellStart"/>
            <w:r w:rsidRPr="00447F64">
              <w:rPr>
                <w:rFonts w:ascii="Arial" w:hAnsi="Arial" w:cs="Arial"/>
                <w:i/>
                <w:iCs/>
              </w:rPr>
              <w:t>by</w:t>
            </w:r>
            <w:proofErr w:type="spellEnd"/>
            <w:r w:rsidRPr="00447F64">
              <w:rPr>
                <w:rFonts w:ascii="Arial" w:hAnsi="Arial" w:cs="Arial"/>
                <w:i/>
                <w:iCs/>
              </w:rPr>
              <w:t xml:space="preserve"> </w:t>
            </w:r>
            <w:proofErr w:type="spellStart"/>
            <w:r w:rsidRPr="00447F64">
              <w:rPr>
                <w:rFonts w:ascii="Arial" w:hAnsi="Arial" w:cs="Arial"/>
                <w:i/>
                <w:iCs/>
              </w:rPr>
              <w:t>the</w:t>
            </w:r>
            <w:proofErr w:type="spellEnd"/>
            <w:r w:rsidRPr="00447F64">
              <w:rPr>
                <w:rFonts w:ascii="Arial" w:hAnsi="Arial" w:cs="Arial"/>
                <w:i/>
                <w:iCs/>
              </w:rPr>
              <w:t xml:space="preserve"> </w:t>
            </w:r>
            <w:proofErr w:type="spellStart"/>
            <w:r w:rsidRPr="00447F64">
              <w:rPr>
                <w:rFonts w:ascii="Arial" w:hAnsi="Arial" w:cs="Arial"/>
                <w:i/>
                <w:iCs/>
              </w:rPr>
              <w:t>competent</w:t>
            </w:r>
            <w:proofErr w:type="spellEnd"/>
            <w:r w:rsidRPr="00447F64">
              <w:rPr>
                <w:rFonts w:ascii="Arial" w:hAnsi="Arial" w:cs="Arial"/>
                <w:i/>
                <w:iCs/>
              </w:rPr>
              <w:t xml:space="preserve"> </w:t>
            </w:r>
            <w:proofErr w:type="spellStart"/>
            <w:r w:rsidRPr="00447F64">
              <w:rPr>
                <w:rFonts w:ascii="Arial" w:hAnsi="Arial" w:cs="Arial"/>
                <w:i/>
                <w:iCs/>
              </w:rPr>
              <w:t>authorities</w:t>
            </w:r>
            <w:proofErr w:type="spellEnd"/>
            <w:r w:rsidRPr="00447F64">
              <w:rPr>
                <w:rFonts w:ascii="Arial" w:hAnsi="Arial" w:cs="Arial"/>
                <w:i/>
                <w:iCs/>
              </w:rPr>
              <w:t xml:space="preserve">) </w:t>
            </w:r>
          </w:p>
          <w:p w:rsidR="00786B63" w:rsidRPr="00447F64" w:rsidRDefault="00786B63" w:rsidP="00447F64">
            <w:pPr>
              <w:pStyle w:val="NormalWeb"/>
              <w:jc w:val="both"/>
              <w:rPr>
                <w:rFonts w:ascii="Arial" w:hAnsi="Arial" w:cs="Arial"/>
              </w:rPr>
            </w:pPr>
            <w:r w:rsidRPr="00447F64">
              <w:rPr>
                <w:rFonts w:ascii="Arial" w:hAnsi="Arial" w:cs="Arial"/>
              </w:rPr>
              <w:t xml:space="preserve">VIÐAUKI XII – Tæknileg viðmið vegna upplýsingagjafar </w:t>
            </w:r>
            <w:r w:rsidRPr="00447F64">
              <w:rPr>
                <w:rFonts w:ascii="Arial" w:hAnsi="Arial" w:cs="Arial"/>
                <w:i/>
                <w:iCs/>
              </w:rPr>
              <w:t xml:space="preserve">(e. ANNEX XII - </w:t>
            </w:r>
            <w:proofErr w:type="spellStart"/>
            <w:r w:rsidRPr="00447F64">
              <w:rPr>
                <w:rFonts w:ascii="Arial" w:hAnsi="Arial" w:cs="Arial"/>
                <w:i/>
                <w:iCs/>
              </w:rPr>
              <w:t>Technical</w:t>
            </w:r>
            <w:proofErr w:type="spellEnd"/>
            <w:r w:rsidRPr="00447F64">
              <w:rPr>
                <w:rFonts w:ascii="Arial" w:hAnsi="Arial" w:cs="Arial"/>
                <w:i/>
                <w:iCs/>
              </w:rPr>
              <w:t xml:space="preserve"> </w:t>
            </w:r>
            <w:proofErr w:type="spellStart"/>
            <w:r w:rsidRPr="00447F64">
              <w:rPr>
                <w:rFonts w:ascii="Arial" w:hAnsi="Arial" w:cs="Arial"/>
                <w:i/>
                <w:iCs/>
              </w:rPr>
              <w:t>criteria</w:t>
            </w:r>
            <w:proofErr w:type="spellEnd"/>
            <w:r w:rsidRPr="00447F64">
              <w:rPr>
                <w:rFonts w:ascii="Arial" w:hAnsi="Arial" w:cs="Arial"/>
                <w:i/>
                <w:iCs/>
              </w:rPr>
              <w:t xml:space="preserve"> on </w:t>
            </w:r>
            <w:proofErr w:type="spellStart"/>
            <w:r w:rsidRPr="00447F64">
              <w:rPr>
                <w:rFonts w:ascii="Arial" w:hAnsi="Arial" w:cs="Arial"/>
                <w:i/>
                <w:iCs/>
              </w:rPr>
              <w:t>disclosure</w:t>
            </w:r>
            <w:proofErr w:type="spellEnd"/>
            <w:r w:rsidRPr="00447F64">
              <w:rPr>
                <w:rFonts w:ascii="Arial" w:hAnsi="Arial" w:cs="Arial"/>
                <w:i/>
                <w:iCs/>
              </w:rPr>
              <w:t>)</w:t>
            </w:r>
            <w:r w:rsidRPr="00447F64">
              <w:rPr>
                <w:rFonts w:ascii="Arial" w:hAnsi="Arial" w:cs="Arial"/>
              </w:rPr>
              <w:t>.</w:t>
            </w:r>
          </w:p>
          <w:p w:rsidR="00786B63" w:rsidRPr="00447F64" w:rsidRDefault="00786B63" w:rsidP="00447F64">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B.</w:t>
            </w:r>
          </w:p>
          <w:p w:rsidR="00786B63" w:rsidRPr="00447F64" w:rsidRDefault="00786B63" w:rsidP="00447F64">
            <w:pPr>
              <w:pStyle w:val="NormalWeb"/>
              <w:jc w:val="both"/>
              <w:rPr>
                <w:rFonts w:ascii="Arial" w:hAnsi="Arial" w:cs="Arial"/>
              </w:rPr>
            </w:pPr>
            <w:r w:rsidRPr="00447F64">
              <w:rPr>
                <w:rFonts w:ascii="Arial" w:hAnsi="Arial" w:cs="Arial"/>
              </w:rPr>
              <w:t xml:space="preserve">Tilskipun Evrópuþingsins og ráðsins 2006/49/EB frá 14. júní 2006 um eiginfjárkröfur fjárfestingarfyrirtækja og lánastofnana (endursamið) </w:t>
            </w:r>
            <w:r w:rsidRPr="00447F64">
              <w:rPr>
                <w:rFonts w:ascii="Arial" w:hAnsi="Arial" w:cs="Arial"/>
                <w:i/>
                <w:iCs/>
              </w:rPr>
              <w:t xml:space="preserve">(e. </w:t>
            </w:r>
            <w:proofErr w:type="spellStart"/>
            <w:r w:rsidRPr="00447F64">
              <w:rPr>
                <w:rFonts w:ascii="Arial" w:hAnsi="Arial" w:cs="Arial"/>
                <w:i/>
                <w:iCs/>
              </w:rPr>
              <w:t>Directive</w:t>
            </w:r>
            <w:proofErr w:type="spellEnd"/>
            <w:r w:rsidRPr="00447F64">
              <w:rPr>
                <w:rFonts w:ascii="Arial" w:hAnsi="Arial" w:cs="Arial"/>
                <w:i/>
                <w:iCs/>
              </w:rPr>
              <w:t xml:space="preserve"> 2006/49/EC of </w:t>
            </w:r>
            <w:proofErr w:type="spellStart"/>
            <w:r w:rsidRPr="00447F64">
              <w:rPr>
                <w:rFonts w:ascii="Arial" w:hAnsi="Arial" w:cs="Arial"/>
                <w:i/>
                <w:iCs/>
              </w:rPr>
              <w:t>the</w:t>
            </w:r>
            <w:proofErr w:type="spellEnd"/>
            <w:r w:rsidRPr="00447F64">
              <w:rPr>
                <w:rFonts w:ascii="Arial" w:hAnsi="Arial" w:cs="Arial"/>
                <w:i/>
                <w:iCs/>
              </w:rPr>
              <w:t xml:space="preserve"> </w:t>
            </w:r>
            <w:proofErr w:type="spellStart"/>
            <w:r w:rsidRPr="00447F64">
              <w:rPr>
                <w:rFonts w:ascii="Arial" w:hAnsi="Arial" w:cs="Arial"/>
                <w:i/>
                <w:iCs/>
              </w:rPr>
              <w:t>European</w:t>
            </w:r>
            <w:proofErr w:type="spellEnd"/>
            <w:r w:rsidRPr="00447F64">
              <w:rPr>
                <w:rFonts w:ascii="Arial" w:hAnsi="Arial" w:cs="Arial"/>
                <w:i/>
                <w:iCs/>
              </w:rPr>
              <w:t xml:space="preserve"> </w:t>
            </w:r>
            <w:proofErr w:type="spellStart"/>
            <w:r w:rsidRPr="00447F64">
              <w:rPr>
                <w:rFonts w:ascii="Arial" w:hAnsi="Arial" w:cs="Arial"/>
                <w:i/>
                <w:iCs/>
              </w:rPr>
              <w:t>Parliament</w:t>
            </w:r>
            <w:proofErr w:type="spellEnd"/>
            <w:r w:rsidRPr="00447F64">
              <w:rPr>
                <w:rFonts w:ascii="Arial" w:hAnsi="Arial" w:cs="Arial"/>
                <w:i/>
                <w:iCs/>
              </w:rPr>
              <w:t xml:space="preserve"> and of </w:t>
            </w:r>
            <w:proofErr w:type="spellStart"/>
            <w:r w:rsidRPr="00447F64">
              <w:rPr>
                <w:rFonts w:ascii="Arial" w:hAnsi="Arial" w:cs="Arial"/>
                <w:i/>
                <w:iCs/>
              </w:rPr>
              <w:t>the</w:t>
            </w:r>
            <w:proofErr w:type="spellEnd"/>
            <w:r w:rsidRPr="00447F64">
              <w:rPr>
                <w:rFonts w:ascii="Arial" w:hAnsi="Arial" w:cs="Arial"/>
                <w:i/>
                <w:iCs/>
              </w:rPr>
              <w:t xml:space="preserve"> </w:t>
            </w:r>
            <w:proofErr w:type="spellStart"/>
            <w:r w:rsidRPr="00447F64">
              <w:rPr>
                <w:rFonts w:ascii="Arial" w:hAnsi="Arial" w:cs="Arial"/>
                <w:i/>
                <w:iCs/>
              </w:rPr>
              <w:t>Council</w:t>
            </w:r>
            <w:proofErr w:type="spellEnd"/>
            <w:r w:rsidRPr="00447F64">
              <w:rPr>
                <w:rFonts w:ascii="Arial" w:hAnsi="Arial" w:cs="Arial"/>
                <w:i/>
                <w:iCs/>
              </w:rPr>
              <w:t xml:space="preserve"> of 14 </w:t>
            </w:r>
            <w:proofErr w:type="spellStart"/>
            <w:r w:rsidRPr="00447F64">
              <w:rPr>
                <w:rFonts w:ascii="Arial" w:hAnsi="Arial" w:cs="Arial"/>
                <w:i/>
                <w:iCs/>
              </w:rPr>
              <w:t>June</w:t>
            </w:r>
            <w:proofErr w:type="spellEnd"/>
            <w:r w:rsidRPr="00447F64">
              <w:rPr>
                <w:rFonts w:ascii="Arial" w:hAnsi="Arial" w:cs="Arial"/>
                <w:i/>
                <w:iCs/>
              </w:rPr>
              <w:t xml:space="preserve"> 2006 on </w:t>
            </w:r>
            <w:proofErr w:type="spellStart"/>
            <w:r w:rsidRPr="00447F64">
              <w:rPr>
                <w:rFonts w:ascii="Arial" w:hAnsi="Arial" w:cs="Arial"/>
                <w:i/>
                <w:iCs/>
              </w:rPr>
              <w:t>the</w:t>
            </w:r>
            <w:proofErr w:type="spellEnd"/>
            <w:r w:rsidRPr="00447F64">
              <w:rPr>
                <w:rFonts w:ascii="Arial" w:hAnsi="Arial" w:cs="Arial"/>
                <w:i/>
                <w:iCs/>
              </w:rPr>
              <w:t xml:space="preserve"> </w:t>
            </w:r>
            <w:proofErr w:type="spellStart"/>
            <w:r w:rsidRPr="00447F64">
              <w:rPr>
                <w:rFonts w:ascii="Arial" w:hAnsi="Arial" w:cs="Arial"/>
                <w:i/>
                <w:iCs/>
              </w:rPr>
              <w:t>capital</w:t>
            </w:r>
            <w:proofErr w:type="spellEnd"/>
            <w:r w:rsidRPr="00447F64">
              <w:rPr>
                <w:rFonts w:ascii="Arial" w:hAnsi="Arial" w:cs="Arial"/>
                <w:i/>
                <w:iCs/>
              </w:rPr>
              <w:t xml:space="preserve"> </w:t>
            </w:r>
            <w:proofErr w:type="spellStart"/>
            <w:r w:rsidRPr="00447F64">
              <w:rPr>
                <w:rFonts w:ascii="Arial" w:hAnsi="Arial" w:cs="Arial"/>
                <w:i/>
                <w:iCs/>
              </w:rPr>
              <w:t>adequacy</w:t>
            </w:r>
            <w:proofErr w:type="spellEnd"/>
            <w:r w:rsidRPr="00447F64">
              <w:rPr>
                <w:rFonts w:ascii="Arial" w:hAnsi="Arial" w:cs="Arial"/>
                <w:i/>
                <w:iCs/>
              </w:rPr>
              <w:t xml:space="preserve"> of </w:t>
            </w:r>
            <w:proofErr w:type="spellStart"/>
            <w:r w:rsidRPr="00447F64">
              <w:rPr>
                <w:rFonts w:ascii="Arial" w:hAnsi="Arial" w:cs="Arial"/>
                <w:i/>
                <w:iCs/>
              </w:rPr>
              <w:t>investment</w:t>
            </w:r>
            <w:proofErr w:type="spellEnd"/>
            <w:r w:rsidRPr="00447F64">
              <w:rPr>
                <w:rFonts w:ascii="Arial" w:hAnsi="Arial" w:cs="Arial"/>
                <w:i/>
                <w:iCs/>
              </w:rPr>
              <w:t xml:space="preserve"> </w:t>
            </w:r>
            <w:proofErr w:type="spellStart"/>
            <w:r w:rsidRPr="00447F64">
              <w:rPr>
                <w:rFonts w:ascii="Arial" w:hAnsi="Arial" w:cs="Arial"/>
                <w:i/>
                <w:iCs/>
              </w:rPr>
              <w:t>firms</w:t>
            </w:r>
            <w:proofErr w:type="spellEnd"/>
            <w:r w:rsidRPr="00447F64">
              <w:rPr>
                <w:rFonts w:ascii="Arial" w:hAnsi="Arial" w:cs="Arial"/>
                <w:i/>
                <w:iCs/>
              </w:rPr>
              <w:t xml:space="preserve"> and </w:t>
            </w:r>
            <w:proofErr w:type="spellStart"/>
            <w:r w:rsidRPr="00447F64">
              <w:rPr>
                <w:rFonts w:ascii="Arial" w:hAnsi="Arial" w:cs="Arial"/>
                <w:i/>
                <w:iCs/>
              </w:rPr>
              <w:t>credit</w:t>
            </w:r>
            <w:proofErr w:type="spellEnd"/>
            <w:r w:rsidRPr="00447F64">
              <w:rPr>
                <w:rFonts w:ascii="Arial" w:hAnsi="Arial" w:cs="Arial"/>
                <w:i/>
                <w:iCs/>
              </w:rPr>
              <w:t xml:space="preserve"> </w:t>
            </w:r>
            <w:proofErr w:type="spellStart"/>
            <w:r w:rsidRPr="00447F64">
              <w:rPr>
                <w:rFonts w:ascii="Arial" w:hAnsi="Arial" w:cs="Arial"/>
                <w:i/>
                <w:iCs/>
              </w:rPr>
              <w:t>institutions</w:t>
            </w:r>
            <w:proofErr w:type="spellEnd"/>
            <w:r w:rsidRPr="00447F64">
              <w:rPr>
                <w:rFonts w:ascii="Arial" w:hAnsi="Arial" w:cs="Arial"/>
                <w:i/>
                <w:iCs/>
              </w:rPr>
              <w:t xml:space="preserve"> (</w:t>
            </w:r>
            <w:proofErr w:type="spellStart"/>
            <w:r w:rsidRPr="00447F64">
              <w:rPr>
                <w:rFonts w:ascii="Arial" w:hAnsi="Arial" w:cs="Arial"/>
                <w:i/>
                <w:iCs/>
              </w:rPr>
              <w:t>recast</w:t>
            </w:r>
            <w:proofErr w:type="spellEnd"/>
            <w:r w:rsidRPr="00447F64">
              <w:rPr>
                <w:rFonts w:ascii="Arial" w:hAnsi="Arial" w:cs="Arial"/>
                <w:i/>
                <w:iCs/>
              </w:rPr>
              <w:t>), OJ L 177, 30.6.2006, p. 201)</w:t>
            </w:r>
            <w:r w:rsidRPr="00447F64">
              <w:rPr>
                <w:rFonts w:ascii="Arial" w:hAnsi="Arial" w:cs="Arial"/>
              </w:rPr>
              <w:t xml:space="preserve"> með áorðnum breytingum samkvæmt tilskipun framkvæmdastjórnarinnar 2009/27/EB frá 7. apríl 2009 um breytingar á tilteknum viðaukum tilskipunar Evrópuþingsins og ráðsins 2006/49/EB að því er varðar tæknileg ákvæði um áhættustýringu </w:t>
            </w:r>
            <w:r w:rsidRPr="00447F64">
              <w:rPr>
                <w:rFonts w:ascii="Arial" w:hAnsi="Arial" w:cs="Arial"/>
                <w:i/>
                <w:iCs/>
              </w:rPr>
              <w:t xml:space="preserve">(e. </w:t>
            </w:r>
            <w:proofErr w:type="spellStart"/>
            <w:r w:rsidRPr="00447F64">
              <w:rPr>
                <w:rFonts w:ascii="Arial" w:hAnsi="Arial" w:cs="Arial"/>
                <w:i/>
                <w:iCs/>
              </w:rPr>
              <w:t>Commission</w:t>
            </w:r>
            <w:proofErr w:type="spellEnd"/>
            <w:r w:rsidRPr="00447F64">
              <w:rPr>
                <w:rFonts w:ascii="Arial" w:hAnsi="Arial" w:cs="Arial"/>
                <w:i/>
                <w:iCs/>
              </w:rPr>
              <w:t xml:space="preserve"> </w:t>
            </w:r>
            <w:proofErr w:type="spellStart"/>
            <w:r w:rsidRPr="00447F64">
              <w:rPr>
                <w:rFonts w:ascii="Arial" w:hAnsi="Arial" w:cs="Arial"/>
                <w:i/>
                <w:iCs/>
              </w:rPr>
              <w:t>Directive</w:t>
            </w:r>
            <w:proofErr w:type="spellEnd"/>
            <w:r w:rsidRPr="00447F64">
              <w:rPr>
                <w:rFonts w:ascii="Arial" w:hAnsi="Arial" w:cs="Arial"/>
                <w:i/>
                <w:iCs/>
              </w:rPr>
              <w:t xml:space="preserve"> 2009/27/EC of 7 </w:t>
            </w:r>
            <w:proofErr w:type="spellStart"/>
            <w:r w:rsidRPr="00447F64">
              <w:rPr>
                <w:rFonts w:ascii="Arial" w:hAnsi="Arial" w:cs="Arial"/>
                <w:i/>
                <w:iCs/>
              </w:rPr>
              <w:t>April</w:t>
            </w:r>
            <w:proofErr w:type="spellEnd"/>
            <w:r w:rsidRPr="00447F64">
              <w:rPr>
                <w:rFonts w:ascii="Arial" w:hAnsi="Arial" w:cs="Arial"/>
                <w:i/>
                <w:iCs/>
              </w:rPr>
              <w:t xml:space="preserve"> 2009 </w:t>
            </w:r>
            <w:proofErr w:type="spellStart"/>
            <w:r w:rsidRPr="00447F64">
              <w:rPr>
                <w:rFonts w:ascii="Arial" w:hAnsi="Arial" w:cs="Arial"/>
                <w:i/>
                <w:iCs/>
              </w:rPr>
              <w:t>amending</w:t>
            </w:r>
            <w:proofErr w:type="spellEnd"/>
            <w:r w:rsidRPr="00447F64">
              <w:rPr>
                <w:rFonts w:ascii="Arial" w:hAnsi="Arial" w:cs="Arial"/>
                <w:i/>
                <w:iCs/>
              </w:rPr>
              <w:t xml:space="preserve"> </w:t>
            </w:r>
            <w:proofErr w:type="spellStart"/>
            <w:r w:rsidRPr="00447F64">
              <w:rPr>
                <w:rFonts w:ascii="Arial" w:hAnsi="Arial" w:cs="Arial"/>
                <w:i/>
                <w:iCs/>
              </w:rPr>
              <w:t>certain</w:t>
            </w:r>
            <w:proofErr w:type="spellEnd"/>
            <w:r w:rsidRPr="00447F64">
              <w:rPr>
                <w:rFonts w:ascii="Arial" w:hAnsi="Arial" w:cs="Arial"/>
                <w:i/>
                <w:iCs/>
              </w:rPr>
              <w:t xml:space="preserve"> </w:t>
            </w:r>
            <w:proofErr w:type="spellStart"/>
            <w:r w:rsidRPr="00447F64">
              <w:rPr>
                <w:rFonts w:ascii="Arial" w:hAnsi="Arial" w:cs="Arial"/>
                <w:i/>
                <w:iCs/>
              </w:rPr>
              <w:t>Annexes</w:t>
            </w:r>
            <w:proofErr w:type="spellEnd"/>
            <w:r w:rsidRPr="00447F64">
              <w:rPr>
                <w:rFonts w:ascii="Arial" w:hAnsi="Arial" w:cs="Arial"/>
                <w:i/>
                <w:iCs/>
              </w:rPr>
              <w:t xml:space="preserve"> to </w:t>
            </w:r>
            <w:proofErr w:type="spellStart"/>
            <w:r w:rsidRPr="00447F64">
              <w:rPr>
                <w:rFonts w:ascii="Arial" w:hAnsi="Arial" w:cs="Arial"/>
                <w:i/>
                <w:iCs/>
              </w:rPr>
              <w:t>Directive</w:t>
            </w:r>
            <w:proofErr w:type="spellEnd"/>
            <w:r w:rsidRPr="00447F64">
              <w:rPr>
                <w:rFonts w:ascii="Arial" w:hAnsi="Arial" w:cs="Arial"/>
                <w:i/>
                <w:iCs/>
              </w:rPr>
              <w:t xml:space="preserve"> 2006/49/EC of </w:t>
            </w:r>
            <w:proofErr w:type="spellStart"/>
            <w:r w:rsidRPr="00447F64">
              <w:rPr>
                <w:rFonts w:ascii="Arial" w:hAnsi="Arial" w:cs="Arial"/>
                <w:i/>
                <w:iCs/>
              </w:rPr>
              <w:t>the</w:t>
            </w:r>
            <w:proofErr w:type="spellEnd"/>
            <w:r w:rsidRPr="00447F64">
              <w:rPr>
                <w:rFonts w:ascii="Arial" w:hAnsi="Arial" w:cs="Arial"/>
                <w:i/>
                <w:iCs/>
              </w:rPr>
              <w:t xml:space="preserve"> </w:t>
            </w:r>
            <w:proofErr w:type="spellStart"/>
            <w:r w:rsidRPr="00447F64">
              <w:rPr>
                <w:rFonts w:ascii="Arial" w:hAnsi="Arial" w:cs="Arial"/>
                <w:i/>
                <w:iCs/>
              </w:rPr>
              <w:t>European</w:t>
            </w:r>
            <w:proofErr w:type="spellEnd"/>
            <w:r w:rsidRPr="00447F64">
              <w:rPr>
                <w:rFonts w:ascii="Arial" w:hAnsi="Arial" w:cs="Arial"/>
                <w:i/>
                <w:iCs/>
              </w:rPr>
              <w:t xml:space="preserve"> </w:t>
            </w:r>
            <w:proofErr w:type="spellStart"/>
            <w:r w:rsidRPr="00447F64">
              <w:rPr>
                <w:rFonts w:ascii="Arial" w:hAnsi="Arial" w:cs="Arial"/>
                <w:i/>
                <w:iCs/>
              </w:rPr>
              <w:t>Parliament</w:t>
            </w:r>
            <w:proofErr w:type="spellEnd"/>
            <w:r w:rsidRPr="00447F64">
              <w:rPr>
                <w:rFonts w:ascii="Arial" w:hAnsi="Arial" w:cs="Arial"/>
                <w:i/>
                <w:iCs/>
              </w:rPr>
              <w:t xml:space="preserve"> and of </w:t>
            </w:r>
            <w:proofErr w:type="spellStart"/>
            <w:r w:rsidRPr="00447F64">
              <w:rPr>
                <w:rFonts w:ascii="Arial" w:hAnsi="Arial" w:cs="Arial"/>
                <w:i/>
                <w:iCs/>
              </w:rPr>
              <w:t>the</w:t>
            </w:r>
            <w:proofErr w:type="spellEnd"/>
            <w:r w:rsidRPr="00447F64">
              <w:rPr>
                <w:rFonts w:ascii="Arial" w:hAnsi="Arial" w:cs="Arial"/>
                <w:i/>
                <w:iCs/>
              </w:rPr>
              <w:t xml:space="preserve"> </w:t>
            </w:r>
            <w:proofErr w:type="spellStart"/>
            <w:r w:rsidRPr="00447F64">
              <w:rPr>
                <w:rFonts w:ascii="Arial" w:hAnsi="Arial" w:cs="Arial"/>
                <w:i/>
                <w:iCs/>
              </w:rPr>
              <w:t>Council</w:t>
            </w:r>
            <w:proofErr w:type="spellEnd"/>
            <w:r w:rsidRPr="00447F64">
              <w:rPr>
                <w:rFonts w:ascii="Arial" w:hAnsi="Arial" w:cs="Arial"/>
                <w:i/>
                <w:iCs/>
              </w:rPr>
              <w:t xml:space="preserve"> </w:t>
            </w:r>
            <w:proofErr w:type="spellStart"/>
            <w:r w:rsidRPr="00447F64">
              <w:rPr>
                <w:rFonts w:ascii="Arial" w:hAnsi="Arial" w:cs="Arial"/>
                <w:i/>
                <w:iCs/>
              </w:rPr>
              <w:t>as</w:t>
            </w:r>
            <w:proofErr w:type="spellEnd"/>
            <w:r w:rsidRPr="00447F64">
              <w:rPr>
                <w:rFonts w:ascii="Arial" w:hAnsi="Arial" w:cs="Arial"/>
                <w:i/>
                <w:iCs/>
              </w:rPr>
              <w:t xml:space="preserve"> </w:t>
            </w:r>
            <w:proofErr w:type="spellStart"/>
            <w:r w:rsidRPr="00447F64">
              <w:rPr>
                <w:rFonts w:ascii="Arial" w:hAnsi="Arial" w:cs="Arial"/>
                <w:i/>
                <w:iCs/>
              </w:rPr>
              <w:t>regards</w:t>
            </w:r>
            <w:proofErr w:type="spellEnd"/>
            <w:r w:rsidRPr="00447F64">
              <w:rPr>
                <w:rFonts w:ascii="Arial" w:hAnsi="Arial" w:cs="Arial"/>
                <w:i/>
                <w:iCs/>
              </w:rPr>
              <w:t xml:space="preserve"> </w:t>
            </w:r>
            <w:proofErr w:type="spellStart"/>
            <w:r w:rsidRPr="00447F64">
              <w:rPr>
                <w:rFonts w:ascii="Arial" w:hAnsi="Arial" w:cs="Arial"/>
                <w:i/>
                <w:iCs/>
              </w:rPr>
              <w:t>technical</w:t>
            </w:r>
            <w:proofErr w:type="spellEnd"/>
            <w:r w:rsidRPr="00447F64">
              <w:rPr>
                <w:rFonts w:ascii="Arial" w:hAnsi="Arial" w:cs="Arial"/>
                <w:i/>
                <w:iCs/>
              </w:rPr>
              <w:t xml:space="preserve"> </w:t>
            </w:r>
            <w:proofErr w:type="spellStart"/>
            <w:r w:rsidRPr="00447F64">
              <w:rPr>
                <w:rFonts w:ascii="Arial" w:hAnsi="Arial" w:cs="Arial"/>
                <w:i/>
                <w:iCs/>
              </w:rPr>
              <w:t>provisions</w:t>
            </w:r>
            <w:proofErr w:type="spellEnd"/>
            <w:r w:rsidRPr="00447F64">
              <w:rPr>
                <w:rFonts w:ascii="Arial" w:hAnsi="Arial" w:cs="Arial"/>
                <w:i/>
                <w:iCs/>
              </w:rPr>
              <w:t xml:space="preserve"> </w:t>
            </w:r>
            <w:proofErr w:type="spellStart"/>
            <w:r w:rsidRPr="00447F64">
              <w:rPr>
                <w:rFonts w:ascii="Arial" w:hAnsi="Arial" w:cs="Arial"/>
                <w:i/>
                <w:iCs/>
              </w:rPr>
              <w:t>concerning</w:t>
            </w:r>
            <w:proofErr w:type="spellEnd"/>
            <w:r w:rsidRPr="00447F64">
              <w:rPr>
                <w:rFonts w:ascii="Arial" w:hAnsi="Arial" w:cs="Arial"/>
                <w:i/>
                <w:iCs/>
              </w:rPr>
              <w:t xml:space="preserve"> risk management, OJ L 94, 8.4.2009, p. 97)</w:t>
            </w:r>
            <w:r w:rsidRPr="00447F64">
              <w:rPr>
                <w:rFonts w:ascii="Arial" w:hAnsi="Arial" w:cs="Arial"/>
              </w:rPr>
              <w:t>:</w:t>
            </w:r>
          </w:p>
          <w:p w:rsidR="00786B63" w:rsidRPr="00447F64" w:rsidRDefault="00786B63" w:rsidP="00447F64">
            <w:pPr>
              <w:pStyle w:val="NormalWeb"/>
              <w:jc w:val="both"/>
              <w:rPr>
                <w:rFonts w:ascii="Arial" w:hAnsi="Arial" w:cs="Arial"/>
                <w:i/>
                <w:iCs/>
              </w:rPr>
            </w:pPr>
            <w:r w:rsidRPr="00447F64">
              <w:rPr>
                <w:rFonts w:ascii="Arial" w:hAnsi="Arial" w:cs="Arial"/>
              </w:rPr>
              <w:t xml:space="preserve">VIÐAUKI I – Útreikningur eiginfjárkröfu vegna stöðuáhættu </w:t>
            </w:r>
            <w:r w:rsidRPr="00447F64">
              <w:rPr>
                <w:rFonts w:ascii="Arial" w:hAnsi="Arial" w:cs="Arial"/>
                <w:i/>
                <w:iCs/>
              </w:rPr>
              <w:t xml:space="preserve">(e. ANNEX I - </w:t>
            </w:r>
            <w:proofErr w:type="spellStart"/>
            <w:r w:rsidRPr="00447F64">
              <w:rPr>
                <w:rFonts w:ascii="Arial" w:hAnsi="Arial" w:cs="Arial"/>
                <w:i/>
                <w:iCs/>
              </w:rPr>
              <w:t>Calculating</w:t>
            </w:r>
            <w:proofErr w:type="spellEnd"/>
            <w:r w:rsidRPr="00447F64">
              <w:rPr>
                <w:rFonts w:ascii="Arial" w:hAnsi="Arial" w:cs="Arial"/>
                <w:i/>
                <w:iCs/>
              </w:rPr>
              <w:t xml:space="preserve"> </w:t>
            </w:r>
            <w:proofErr w:type="spellStart"/>
            <w:r w:rsidRPr="00447F64">
              <w:rPr>
                <w:rFonts w:ascii="Arial" w:hAnsi="Arial" w:cs="Arial"/>
                <w:i/>
                <w:iCs/>
              </w:rPr>
              <w:t>capital</w:t>
            </w:r>
            <w:proofErr w:type="spellEnd"/>
            <w:r w:rsidRPr="00447F64">
              <w:rPr>
                <w:rFonts w:ascii="Arial" w:hAnsi="Arial" w:cs="Arial"/>
                <w:i/>
                <w:iCs/>
              </w:rPr>
              <w:t xml:space="preserve"> </w:t>
            </w:r>
            <w:proofErr w:type="spellStart"/>
            <w:r w:rsidRPr="00447F64">
              <w:rPr>
                <w:rFonts w:ascii="Arial" w:hAnsi="Arial" w:cs="Arial"/>
                <w:i/>
                <w:iCs/>
              </w:rPr>
              <w:t>requirements</w:t>
            </w:r>
            <w:proofErr w:type="spellEnd"/>
            <w:r w:rsidRPr="00447F64">
              <w:rPr>
                <w:rFonts w:ascii="Arial" w:hAnsi="Arial" w:cs="Arial"/>
                <w:i/>
                <w:iCs/>
              </w:rPr>
              <w:t xml:space="preserve"> for </w:t>
            </w:r>
            <w:proofErr w:type="spellStart"/>
            <w:r w:rsidRPr="00447F64">
              <w:rPr>
                <w:rFonts w:ascii="Arial" w:hAnsi="Arial" w:cs="Arial"/>
                <w:i/>
                <w:iCs/>
              </w:rPr>
              <w:t>position</w:t>
            </w:r>
            <w:proofErr w:type="spellEnd"/>
            <w:r w:rsidRPr="00447F64">
              <w:rPr>
                <w:rFonts w:ascii="Arial" w:hAnsi="Arial" w:cs="Arial"/>
                <w:i/>
                <w:iCs/>
              </w:rPr>
              <w:t xml:space="preserve"> risk)</w:t>
            </w:r>
          </w:p>
          <w:p w:rsidR="00786B63" w:rsidRPr="00447F64" w:rsidRDefault="00786B63" w:rsidP="00447F64">
            <w:pPr>
              <w:pStyle w:val="NormalWeb"/>
              <w:jc w:val="both"/>
              <w:rPr>
                <w:rFonts w:ascii="Arial" w:hAnsi="Arial" w:cs="Arial"/>
                <w:i/>
                <w:iCs/>
              </w:rPr>
            </w:pPr>
            <w:r w:rsidRPr="00447F64">
              <w:rPr>
                <w:rFonts w:ascii="Arial" w:hAnsi="Arial" w:cs="Arial"/>
              </w:rPr>
              <w:t xml:space="preserve">VIÐAUKI II – Útreikningur eiginfjárkröfu vegna uppgjörs- og mótaðilaáhættu </w:t>
            </w:r>
            <w:r w:rsidRPr="00447F64">
              <w:rPr>
                <w:rFonts w:ascii="Arial" w:hAnsi="Arial" w:cs="Arial"/>
                <w:i/>
                <w:iCs/>
              </w:rPr>
              <w:t xml:space="preserve">(e. ANNEX II - </w:t>
            </w:r>
            <w:proofErr w:type="spellStart"/>
            <w:r w:rsidRPr="00447F64">
              <w:rPr>
                <w:rFonts w:ascii="Arial" w:hAnsi="Arial" w:cs="Arial"/>
                <w:i/>
                <w:iCs/>
              </w:rPr>
              <w:t>Calculating</w:t>
            </w:r>
            <w:proofErr w:type="spellEnd"/>
            <w:r w:rsidRPr="00447F64">
              <w:rPr>
                <w:rFonts w:ascii="Arial" w:hAnsi="Arial" w:cs="Arial"/>
                <w:i/>
                <w:iCs/>
              </w:rPr>
              <w:t xml:space="preserve"> </w:t>
            </w:r>
            <w:proofErr w:type="spellStart"/>
            <w:r w:rsidRPr="00447F64">
              <w:rPr>
                <w:rFonts w:ascii="Arial" w:hAnsi="Arial" w:cs="Arial"/>
                <w:i/>
                <w:iCs/>
              </w:rPr>
              <w:t>capital</w:t>
            </w:r>
            <w:proofErr w:type="spellEnd"/>
            <w:r w:rsidRPr="00447F64">
              <w:rPr>
                <w:rFonts w:ascii="Arial" w:hAnsi="Arial" w:cs="Arial"/>
                <w:i/>
                <w:iCs/>
              </w:rPr>
              <w:t xml:space="preserve"> </w:t>
            </w:r>
            <w:proofErr w:type="spellStart"/>
            <w:r w:rsidRPr="00447F64">
              <w:rPr>
                <w:rFonts w:ascii="Arial" w:hAnsi="Arial" w:cs="Arial"/>
                <w:i/>
                <w:iCs/>
              </w:rPr>
              <w:t>requirements</w:t>
            </w:r>
            <w:proofErr w:type="spellEnd"/>
            <w:r w:rsidRPr="00447F64">
              <w:rPr>
                <w:rFonts w:ascii="Arial" w:hAnsi="Arial" w:cs="Arial"/>
                <w:i/>
                <w:iCs/>
              </w:rPr>
              <w:t xml:space="preserve"> for </w:t>
            </w:r>
            <w:proofErr w:type="spellStart"/>
            <w:r w:rsidRPr="00447F64">
              <w:rPr>
                <w:rFonts w:ascii="Arial" w:hAnsi="Arial" w:cs="Arial"/>
                <w:i/>
                <w:iCs/>
              </w:rPr>
              <w:t>settlement</w:t>
            </w:r>
            <w:proofErr w:type="spellEnd"/>
            <w:r w:rsidRPr="00447F64">
              <w:rPr>
                <w:rFonts w:ascii="Arial" w:hAnsi="Arial" w:cs="Arial"/>
                <w:i/>
                <w:iCs/>
              </w:rPr>
              <w:t xml:space="preserve"> and </w:t>
            </w:r>
            <w:proofErr w:type="spellStart"/>
            <w:r w:rsidRPr="00447F64">
              <w:rPr>
                <w:rFonts w:ascii="Arial" w:hAnsi="Arial" w:cs="Arial"/>
                <w:i/>
                <w:iCs/>
              </w:rPr>
              <w:t>counterparty</w:t>
            </w:r>
            <w:proofErr w:type="spellEnd"/>
            <w:r w:rsidRPr="00447F64">
              <w:rPr>
                <w:rFonts w:ascii="Arial" w:hAnsi="Arial" w:cs="Arial"/>
                <w:i/>
                <w:iCs/>
              </w:rPr>
              <w:t xml:space="preserve"> </w:t>
            </w:r>
            <w:proofErr w:type="spellStart"/>
            <w:r w:rsidRPr="00447F64">
              <w:rPr>
                <w:rFonts w:ascii="Arial" w:hAnsi="Arial" w:cs="Arial"/>
                <w:i/>
                <w:iCs/>
              </w:rPr>
              <w:t>credit</w:t>
            </w:r>
            <w:proofErr w:type="spellEnd"/>
            <w:r w:rsidRPr="00447F64">
              <w:rPr>
                <w:rFonts w:ascii="Arial" w:hAnsi="Arial" w:cs="Arial"/>
                <w:i/>
                <w:iCs/>
              </w:rPr>
              <w:t xml:space="preserve"> risk)</w:t>
            </w:r>
          </w:p>
          <w:p w:rsidR="00786B63" w:rsidRPr="00447F64" w:rsidRDefault="00786B63" w:rsidP="00447F64">
            <w:pPr>
              <w:pStyle w:val="NormalWeb"/>
              <w:jc w:val="both"/>
              <w:rPr>
                <w:rFonts w:ascii="Arial" w:hAnsi="Arial" w:cs="Arial"/>
                <w:i/>
                <w:iCs/>
              </w:rPr>
            </w:pPr>
            <w:r w:rsidRPr="00447F64">
              <w:rPr>
                <w:rFonts w:ascii="Arial" w:hAnsi="Arial" w:cs="Arial"/>
              </w:rPr>
              <w:lastRenderedPageBreak/>
              <w:t xml:space="preserve">VIÐAUKI III – Útreikningur eiginfjárkröfu vegna gjaldeyrisáhættu </w:t>
            </w:r>
            <w:r w:rsidRPr="00447F64">
              <w:rPr>
                <w:rFonts w:ascii="Arial" w:hAnsi="Arial" w:cs="Arial"/>
                <w:i/>
                <w:iCs/>
              </w:rPr>
              <w:t xml:space="preserve">(e. ANNEX III </w:t>
            </w:r>
            <w:proofErr w:type="spellStart"/>
            <w:r w:rsidRPr="00447F64">
              <w:rPr>
                <w:rFonts w:ascii="Arial" w:hAnsi="Arial" w:cs="Arial"/>
                <w:i/>
                <w:iCs/>
              </w:rPr>
              <w:t>Calculating</w:t>
            </w:r>
            <w:proofErr w:type="spellEnd"/>
            <w:r w:rsidRPr="00447F64">
              <w:rPr>
                <w:rFonts w:ascii="Arial" w:hAnsi="Arial" w:cs="Arial"/>
                <w:i/>
                <w:iCs/>
              </w:rPr>
              <w:t xml:space="preserve"> </w:t>
            </w:r>
            <w:proofErr w:type="spellStart"/>
            <w:r w:rsidRPr="00447F64">
              <w:rPr>
                <w:rFonts w:ascii="Arial" w:hAnsi="Arial" w:cs="Arial"/>
                <w:i/>
                <w:iCs/>
              </w:rPr>
              <w:t>capital</w:t>
            </w:r>
            <w:proofErr w:type="spellEnd"/>
            <w:r w:rsidRPr="00447F64">
              <w:rPr>
                <w:rFonts w:ascii="Arial" w:hAnsi="Arial" w:cs="Arial"/>
                <w:i/>
                <w:iCs/>
              </w:rPr>
              <w:t xml:space="preserve"> </w:t>
            </w:r>
            <w:proofErr w:type="spellStart"/>
            <w:r w:rsidRPr="00447F64">
              <w:rPr>
                <w:rFonts w:ascii="Arial" w:hAnsi="Arial" w:cs="Arial"/>
                <w:i/>
                <w:iCs/>
              </w:rPr>
              <w:t>requirements</w:t>
            </w:r>
            <w:proofErr w:type="spellEnd"/>
            <w:r w:rsidRPr="00447F64">
              <w:rPr>
                <w:rFonts w:ascii="Arial" w:hAnsi="Arial" w:cs="Arial"/>
                <w:i/>
                <w:iCs/>
              </w:rPr>
              <w:t xml:space="preserve"> for foreign-</w:t>
            </w:r>
            <w:proofErr w:type="spellStart"/>
            <w:r w:rsidRPr="00447F64">
              <w:rPr>
                <w:rFonts w:ascii="Arial" w:hAnsi="Arial" w:cs="Arial"/>
                <w:i/>
                <w:iCs/>
              </w:rPr>
              <w:t>exchange</w:t>
            </w:r>
            <w:proofErr w:type="spellEnd"/>
            <w:r w:rsidRPr="00447F64">
              <w:rPr>
                <w:rFonts w:ascii="Arial" w:hAnsi="Arial" w:cs="Arial"/>
                <w:i/>
                <w:iCs/>
              </w:rPr>
              <w:t xml:space="preserve"> risk)</w:t>
            </w:r>
          </w:p>
          <w:p w:rsidR="00786B63" w:rsidRPr="00447F64" w:rsidRDefault="00786B63" w:rsidP="00447F64">
            <w:pPr>
              <w:pStyle w:val="NormalWeb"/>
              <w:jc w:val="both"/>
              <w:rPr>
                <w:rFonts w:ascii="Arial" w:hAnsi="Arial" w:cs="Arial"/>
                <w:i/>
                <w:iCs/>
              </w:rPr>
            </w:pPr>
            <w:r w:rsidRPr="00447F64">
              <w:rPr>
                <w:rFonts w:ascii="Arial" w:hAnsi="Arial" w:cs="Arial"/>
              </w:rPr>
              <w:t xml:space="preserve">VIÐAUKI IV – Útreikningur eiginfjárkröfu vegna hrávöruáhættu </w:t>
            </w:r>
            <w:r w:rsidRPr="00447F64">
              <w:rPr>
                <w:rFonts w:ascii="Arial" w:hAnsi="Arial" w:cs="Arial"/>
                <w:i/>
                <w:iCs/>
              </w:rPr>
              <w:t xml:space="preserve">(e. ANNEX IV </w:t>
            </w:r>
            <w:proofErr w:type="spellStart"/>
            <w:r w:rsidRPr="00447F64">
              <w:rPr>
                <w:rFonts w:ascii="Arial" w:hAnsi="Arial" w:cs="Arial"/>
                <w:i/>
                <w:iCs/>
              </w:rPr>
              <w:t>Calculating</w:t>
            </w:r>
            <w:proofErr w:type="spellEnd"/>
            <w:r w:rsidRPr="00447F64">
              <w:rPr>
                <w:rFonts w:ascii="Arial" w:hAnsi="Arial" w:cs="Arial"/>
                <w:i/>
                <w:iCs/>
              </w:rPr>
              <w:t xml:space="preserve"> </w:t>
            </w:r>
            <w:proofErr w:type="spellStart"/>
            <w:r w:rsidRPr="00447F64">
              <w:rPr>
                <w:rFonts w:ascii="Arial" w:hAnsi="Arial" w:cs="Arial"/>
                <w:i/>
                <w:iCs/>
              </w:rPr>
              <w:t>capital</w:t>
            </w:r>
            <w:proofErr w:type="spellEnd"/>
            <w:r w:rsidRPr="00447F64">
              <w:rPr>
                <w:rFonts w:ascii="Arial" w:hAnsi="Arial" w:cs="Arial"/>
                <w:i/>
                <w:iCs/>
              </w:rPr>
              <w:t xml:space="preserve"> </w:t>
            </w:r>
            <w:proofErr w:type="spellStart"/>
            <w:r w:rsidRPr="00447F64">
              <w:rPr>
                <w:rFonts w:ascii="Arial" w:hAnsi="Arial" w:cs="Arial"/>
                <w:i/>
                <w:iCs/>
              </w:rPr>
              <w:t>requirements</w:t>
            </w:r>
            <w:proofErr w:type="spellEnd"/>
            <w:r w:rsidRPr="00447F64">
              <w:rPr>
                <w:rFonts w:ascii="Arial" w:hAnsi="Arial" w:cs="Arial"/>
                <w:i/>
                <w:iCs/>
              </w:rPr>
              <w:t xml:space="preserve"> for </w:t>
            </w:r>
            <w:proofErr w:type="spellStart"/>
            <w:r w:rsidRPr="00447F64">
              <w:rPr>
                <w:rFonts w:ascii="Arial" w:hAnsi="Arial" w:cs="Arial"/>
                <w:i/>
                <w:iCs/>
              </w:rPr>
              <w:t>commodities</w:t>
            </w:r>
            <w:proofErr w:type="spellEnd"/>
            <w:r w:rsidRPr="00447F64">
              <w:rPr>
                <w:rFonts w:ascii="Arial" w:hAnsi="Arial" w:cs="Arial"/>
                <w:i/>
                <w:iCs/>
              </w:rPr>
              <w:t xml:space="preserve"> risk) </w:t>
            </w:r>
          </w:p>
          <w:p w:rsidR="00786B63" w:rsidRPr="00447F64" w:rsidRDefault="00786B63" w:rsidP="00447F64">
            <w:pPr>
              <w:pStyle w:val="NormalWeb"/>
              <w:jc w:val="both"/>
              <w:rPr>
                <w:rFonts w:ascii="Arial" w:hAnsi="Arial" w:cs="Arial"/>
                <w:i/>
                <w:iCs/>
              </w:rPr>
            </w:pPr>
            <w:r w:rsidRPr="00447F64">
              <w:rPr>
                <w:rFonts w:ascii="Arial" w:hAnsi="Arial" w:cs="Arial"/>
              </w:rPr>
              <w:t xml:space="preserve">VIÐAUKI V – Notkun eigin líkana við útreikning eiginfjárkröfu </w:t>
            </w:r>
            <w:r w:rsidRPr="00447F64">
              <w:rPr>
                <w:rFonts w:ascii="Arial" w:hAnsi="Arial" w:cs="Arial"/>
                <w:i/>
                <w:iCs/>
              </w:rPr>
              <w:t xml:space="preserve">(e. ANNEX V - </w:t>
            </w:r>
            <w:proofErr w:type="spellStart"/>
            <w:r w:rsidRPr="00447F64">
              <w:rPr>
                <w:rFonts w:ascii="Arial" w:hAnsi="Arial" w:cs="Arial"/>
                <w:i/>
                <w:iCs/>
              </w:rPr>
              <w:t>Use</w:t>
            </w:r>
            <w:proofErr w:type="spellEnd"/>
            <w:r w:rsidRPr="00447F64">
              <w:rPr>
                <w:rFonts w:ascii="Arial" w:hAnsi="Arial" w:cs="Arial"/>
                <w:i/>
                <w:iCs/>
              </w:rPr>
              <w:t xml:space="preserve"> of </w:t>
            </w:r>
            <w:proofErr w:type="spellStart"/>
            <w:r w:rsidRPr="00447F64">
              <w:rPr>
                <w:rFonts w:ascii="Arial" w:hAnsi="Arial" w:cs="Arial"/>
                <w:i/>
                <w:iCs/>
              </w:rPr>
              <w:t>internal</w:t>
            </w:r>
            <w:proofErr w:type="spellEnd"/>
            <w:r w:rsidRPr="00447F64">
              <w:rPr>
                <w:rFonts w:ascii="Arial" w:hAnsi="Arial" w:cs="Arial"/>
                <w:i/>
                <w:iCs/>
              </w:rPr>
              <w:t xml:space="preserve"> </w:t>
            </w:r>
            <w:proofErr w:type="spellStart"/>
            <w:r w:rsidRPr="00447F64">
              <w:rPr>
                <w:rFonts w:ascii="Arial" w:hAnsi="Arial" w:cs="Arial"/>
                <w:i/>
                <w:iCs/>
              </w:rPr>
              <w:t>models</w:t>
            </w:r>
            <w:proofErr w:type="spellEnd"/>
            <w:r w:rsidRPr="00447F64">
              <w:rPr>
                <w:rFonts w:ascii="Arial" w:hAnsi="Arial" w:cs="Arial"/>
                <w:i/>
                <w:iCs/>
              </w:rPr>
              <w:t xml:space="preserve"> to </w:t>
            </w:r>
            <w:proofErr w:type="spellStart"/>
            <w:r w:rsidRPr="00447F64">
              <w:rPr>
                <w:rFonts w:ascii="Arial" w:hAnsi="Arial" w:cs="Arial"/>
                <w:i/>
                <w:iCs/>
              </w:rPr>
              <w:t>calculate</w:t>
            </w:r>
            <w:proofErr w:type="spellEnd"/>
            <w:r w:rsidRPr="00447F64">
              <w:rPr>
                <w:rFonts w:ascii="Arial" w:hAnsi="Arial" w:cs="Arial"/>
                <w:i/>
                <w:iCs/>
              </w:rPr>
              <w:t xml:space="preserve"> </w:t>
            </w:r>
            <w:proofErr w:type="spellStart"/>
            <w:r w:rsidRPr="00447F64">
              <w:rPr>
                <w:rFonts w:ascii="Arial" w:hAnsi="Arial" w:cs="Arial"/>
                <w:i/>
                <w:iCs/>
              </w:rPr>
              <w:t>capital</w:t>
            </w:r>
            <w:proofErr w:type="spellEnd"/>
            <w:r w:rsidRPr="00447F64">
              <w:rPr>
                <w:rFonts w:ascii="Arial" w:hAnsi="Arial" w:cs="Arial"/>
                <w:i/>
                <w:iCs/>
              </w:rPr>
              <w:t xml:space="preserve"> </w:t>
            </w:r>
            <w:proofErr w:type="spellStart"/>
            <w:r w:rsidRPr="00447F64">
              <w:rPr>
                <w:rFonts w:ascii="Arial" w:hAnsi="Arial" w:cs="Arial"/>
                <w:i/>
                <w:iCs/>
              </w:rPr>
              <w:t>requirements</w:t>
            </w:r>
            <w:proofErr w:type="spellEnd"/>
            <w:r w:rsidRPr="00447F64">
              <w:rPr>
                <w:rFonts w:ascii="Arial" w:hAnsi="Arial" w:cs="Arial"/>
                <w:i/>
                <w:iCs/>
              </w:rPr>
              <w:t xml:space="preserve">) </w:t>
            </w:r>
          </w:p>
          <w:p w:rsidR="00786B63" w:rsidRPr="00447F64" w:rsidRDefault="00786B63" w:rsidP="00447F64">
            <w:pPr>
              <w:pStyle w:val="NormalWeb"/>
              <w:jc w:val="both"/>
              <w:rPr>
                <w:rFonts w:ascii="Arial" w:hAnsi="Arial" w:cs="Arial"/>
                <w:i/>
                <w:iCs/>
              </w:rPr>
            </w:pPr>
            <w:r w:rsidRPr="00447F64">
              <w:rPr>
                <w:rFonts w:ascii="Arial" w:hAnsi="Arial" w:cs="Arial"/>
              </w:rPr>
              <w:t xml:space="preserve">VIÐAUKI VI, 2. hluti – Viðurkenning matsfyrirtækja og vörpun á lánshæfismati þeirra </w:t>
            </w:r>
            <w:r w:rsidRPr="00447F64">
              <w:rPr>
                <w:rFonts w:ascii="Arial" w:hAnsi="Arial" w:cs="Arial"/>
                <w:i/>
                <w:iCs/>
              </w:rPr>
              <w:t xml:space="preserve">(e. ANNEX VI, Part 2 – </w:t>
            </w:r>
            <w:proofErr w:type="spellStart"/>
            <w:r w:rsidRPr="00447F64">
              <w:rPr>
                <w:rFonts w:ascii="Arial" w:hAnsi="Arial" w:cs="Arial"/>
                <w:i/>
                <w:iCs/>
              </w:rPr>
              <w:t>Recognition</w:t>
            </w:r>
            <w:proofErr w:type="spellEnd"/>
            <w:r w:rsidRPr="00447F64">
              <w:rPr>
                <w:rFonts w:ascii="Arial" w:hAnsi="Arial" w:cs="Arial"/>
                <w:i/>
                <w:iCs/>
              </w:rPr>
              <w:t xml:space="preserve"> of </w:t>
            </w:r>
            <w:proofErr w:type="spellStart"/>
            <w:r w:rsidRPr="00447F64">
              <w:rPr>
                <w:rFonts w:ascii="Arial" w:hAnsi="Arial" w:cs="Arial"/>
                <w:i/>
                <w:iCs/>
              </w:rPr>
              <w:t>ECAIs</w:t>
            </w:r>
            <w:proofErr w:type="spellEnd"/>
            <w:r w:rsidRPr="00447F64">
              <w:rPr>
                <w:rFonts w:ascii="Arial" w:hAnsi="Arial" w:cs="Arial"/>
                <w:i/>
                <w:iCs/>
              </w:rPr>
              <w:t xml:space="preserve"> and </w:t>
            </w:r>
            <w:proofErr w:type="spellStart"/>
            <w:r w:rsidRPr="00447F64">
              <w:rPr>
                <w:rFonts w:ascii="Arial" w:hAnsi="Arial" w:cs="Arial"/>
                <w:i/>
                <w:iCs/>
              </w:rPr>
              <w:t>mapping</w:t>
            </w:r>
            <w:proofErr w:type="spellEnd"/>
            <w:r w:rsidRPr="00447F64">
              <w:rPr>
                <w:rFonts w:ascii="Arial" w:hAnsi="Arial" w:cs="Arial"/>
                <w:i/>
                <w:iCs/>
              </w:rPr>
              <w:t xml:space="preserve"> of </w:t>
            </w:r>
            <w:proofErr w:type="spellStart"/>
            <w:r w:rsidRPr="00447F64">
              <w:rPr>
                <w:rFonts w:ascii="Arial" w:hAnsi="Arial" w:cs="Arial"/>
                <w:i/>
                <w:iCs/>
              </w:rPr>
              <w:t>their</w:t>
            </w:r>
            <w:proofErr w:type="spellEnd"/>
            <w:r w:rsidRPr="00447F64">
              <w:rPr>
                <w:rFonts w:ascii="Arial" w:hAnsi="Arial" w:cs="Arial"/>
                <w:i/>
                <w:iCs/>
              </w:rPr>
              <w:t xml:space="preserve"> </w:t>
            </w:r>
            <w:proofErr w:type="spellStart"/>
            <w:r w:rsidRPr="00447F64">
              <w:rPr>
                <w:rFonts w:ascii="Arial" w:hAnsi="Arial" w:cs="Arial"/>
                <w:i/>
                <w:iCs/>
              </w:rPr>
              <w:t>credit</w:t>
            </w:r>
            <w:proofErr w:type="spellEnd"/>
            <w:r w:rsidRPr="00447F64">
              <w:rPr>
                <w:rFonts w:ascii="Arial" w:hAnsi="Arial" w:cs="Arial"/>
                <w:i/>
                <w:iCs/>
              </w:rPr>
              <w:t xml:space="preserve"> </w:t>
            </w:r>
            <w:proofErr w:type="spellStart"/>
            <w:r w:rsidRPr="00447F64">
              <w:rPr>
                <w:rFonts w:ascii="Arial" w:hAnsi="Arial" w:cs="Arial"/>
                <w:i/>
                <w:iCs/>
              </w:rPr>
              <w:t>assessments</w:t>
            </w:r>
            <w:proofErr w:type="spellEnd"/>
            <w:r w:rsidRPr="00447F64">
              <w:rPr>
                <w:rFonts w:ascii="Arial" w:hAnsi="Arial" w:cs="Arial"/>
                <w:i/>
                <w:iCs/>
              </w:rPr>
              <w:t xml:space="preserve">) </w:t>
            </w:r>
          </w:p>
          <w:p w:rsidR="00786B63" w:rsidRPr="00447F64" w:rsidRDefault="00786B63" w:rsidP="00447F64">
            <w:pPr>
              <w:pStyle w:val="NormalWeb"/>
              <w:jc w:val="both"/>
              <w:rPr>
                <w:rFonts w:ascii="Arial" w:hAnsi="Arial" w:cs="Arial"/>
              </w:rPr>
            </w:pPr>
            <w:r w:rsidRPr="00447F64">
              <w:rPr>
                <w:rFonts w:ascii="Arial" w:hAnsi="Arial" w:cs="Arial"/>
              </w:rPr>
              <w:t xml:space="preserve">VIÐAUKI VII – Veltuviðskipti </w:t>
            </w:r>
            <w:r w:rsidRPr="00447F64">
              <w:rPr>
                <w:rFonts w:ascii="Arial" w:hAnsi="Arial" w:cs="Arial"/>
                <w:i/>
                <w:iCs/>
              </w:rPr>
              <w:t xml:space="preserve">(e. ANNEX VII – </w:t>
            </w:r>
            <w:proofErr w:type="spellStart"/>
            <w:r w:rsidRPr="00447F64">
              <w:rPr>
                <w:rFonts w:ascii="Arial" w:hAnsi="Arial" w:cs="Arial"/>
                <w:i/>
                <w:iCs/>
              </w:rPr>
              <w:t>Trading</w:t>
            </w:r>
            <w:proofErr w:type="spellEnd"/>
            <w:r w:rsidRPr="00447F64">
              <w:rPr>
                <w:rFonts w:ascii="Arial" w:hAnsi="Arial" w:cs="Arial"/>
                <w:i/>
                <w:iCs/>
              </w:rPr>
              <w:t>)</w:t>
            </w:r>
            <w:r w:rsidRPr="00447F64">
              <w:rPr>
                <w:rFonts w:ascii="Arial" w:hAnsi="Arial" w:cs="Arial"/>
              </w:rPr>
              <w:t>.</w:t>
            </w:r>
            <w:r w:rsidR="00447F64" w:rsidRPr="00447F64">
              <w:rPr>
                <w:rFonts w:ascii="Arial" w:hAnsi="Arial" w:cs="Arial"/>
              </w:rPr>
              <w:t>]</w:t>
            </w:r>
            <w:r w:rsidR="00447F64" w:rsidRPr="00447F64">
              <w:rPr>
                <w:rStyle w:val="FootnoteReference"/>
                <w:rFonts w:ascii="Arial" w:hAnsi="Arial" w:cs="Arial"/>
              </w:rPr>
              <w:footnoteReference w:id="36"/>
            </w:r>
            <w:r w:rsidRPr="00447F64">
              <w:rPr>
                <w:rFonts w:ascii="Arial" w:hAnsi="Arial" w:cs="Arial"/>
              </w:rPr>
              <w:t xml:space="preserve"> </w:t>
            </w:r>
          </w:p>
          <w:p w:rsidR="008317D6" w:rsidRPr="00447F64" w:rsidRDefault="008317D6" w:rsidP="00447F64">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XIV. KAFLI</w:t>
            </w:r>
          </w:p>
          <w:p w:rsidR="008317D6" w:rsidRPr="00447F64" w:rsidRDefault="008317D6" w:rsidP="00447F64">
            <w:pPr>
              <w:spacing w:before="100" w:beforeAutospacing="1" w:after="100" w:afterAutospacing="1" w:line="240" w:lineRule="auto"/>
              <w:jc w:val="center"/>
              <w:rPr>
                <w:rFonts w:ascii="Arial" w:eastAsia="Times New Roman" w:hAnsi="Arial" w:cs="Arial"/>
                <w:b/>
                <w:bCs/>
                <w:sz w:val="24"/>
                <w:szCs w:val="24"/>
                <w:lang w:eastAsia="is-IS"/>
              </w:rPr>
            </w:pPr>
            <w:r w:rsidRPr="00447F64">
              <w:rPr>
                <w:rFonts w:ascii="Arial" w:eastAsia="Times New Roman" w:hAnsi="Arial" w:cs="Arial"/>
                <w:b/>
                <w:bCs/>
                <w:sz w:val="24"/>
                <w:szCs w:val="24"/>
                <w:lang w:eastAsia="is-IS"/>
              </w:rPr>
              <w:t>Gildistökuákvæði.</w:t>
            </w:r>
          </w:p>
          <w:p w:rsidR="008317D6" w:rsidRPr="00447F64" w:rsidRDefault="008317D6" w:rsidP="00447F64">
            <w:pPr>
              <w:spacing w:before="100" w:beforeAutospacing="1" w:after="100" w:afterAutospacing="1" w:line="240" w:lineRule="auto"/>
              <w:jc w:val="center"/>
              <w:rPr>
                <w:rFonts w:ascii="Arial" w:eastAsia="Times New Roman" w:hAnsi="Arial" w:cs="Arial"/>
                <w:sz w:val="24"/>
                <w:szCs w:val="24"/>
                <w:lang w:eastAsia="is-IS"/>
              </w:rPr>
            </w:pPr>
            <w:r w:rsidRPr="00447F64">
              <w:rPr>
                <w:rFonts w:ascii="Arial" w:eastAsia="Times New Roman" w:hAnsi="Arial" w:cs="Arial"/>
                <w:sz w:val="24"/>
                <w:szCs w:val="24"/>
                <w:lang w:eastAsia="is-IS"/>
              </w:rPr>
              <w:t>56. gr.</w:t>
            </w:r>
          </w:p>
          <w:p w:rsidR="008317D6" w:rsidRPr="00447F64" w:rsidRDefault="008317D6" w:rsidP="00447F64">
            <w:pPr>
              <w:spacing w:before="100" w:beforeAutospacing="1" w:after="100" w:afterAutospacing="1" w:line="240" w:lineRule="auto"/>
              <w:jc w:val="both"/>
              <w:rPr>
                <w:rFonts w:ascii="Arial" w:eastAsia="Times New Roman" w:hAnsi="Arial" w:cs="Arial"/>
                <w:sz w:val="24"/>
                <w:szCs w:val="24"/>
                <w:lang w:eastAsia="is-IS"/>
              </w:rPr>
            </w:pPr>
            <w:r w:rsidRPr="00447F64">
              <w:rPr>
                <w:rFonts w:ascii="Arial" w:eastAsia="Times New Roman" w:hAnsi="Arial" w:cs="Arial"/>
                <w:sz w:val="24"/>
                <w:szCs w:val="24"/>
                <w:lang w:eastAsia="is-IS"/>
              </w:rPr>
              <w:t>Reglur þessar eru settar með tilvísun til 3. mgr. 84. gr. laga nr. 161/2002, um fjármála</w:t>
            </w:r>
            <w:r w:rsidRPr="00447F64">
              <w:rPr>
                <w:rFonts w:ascii="Arial" w:eastAsia="Times New Roman" w:hAnsi="Arial" w:cs="Arial"/>
                <w:sz w:val="24"/>
                <w:szCs w:val="24"/>
                <w:lang w:eastAsia="is-IS"/>
              </w:rPr>
              <w:softHyphen/>
              <w:t>fyrirtæki, með síðari breytingum og taka gildi þegar í stað. Jafnframt falla þá úr gildi reglur nr. 530/2003, um eiginfjárhlutfall fjármálafyrirtækja. Reglur nr. 530/2003 halda þó gildi sínu gagnvart þeim fjármálafyrirtækjum sem bráðabirgðaákvæði nr. I og II í lögum nr. 170/2006, eiga við um á því tímabili sem þar er tilgreint.</w:t>
            </w:r>
          </w:p>
        </w:tc>
      </w:tr>
    </w:tbl>
    <w:p w:rsidR="00C23FF4" w:rsidRPr="00447F64" w:rsidRDefault="00C23FF4" w:rsidP="00447F64">
      <w:pPr>
        <w:jc w:val="both"/>
        <w:rPr>
          <w:rFonts w:ascii="Arial" w:hAnsi="Arial" w:cs="Arial"/>
          <w:sz w:val="24"/>
          <w:szCs w:val="24"/>
        </w:rPr>
      </w:pPr>
    </w:p>
    <w:sectPr w:rsidR="00C23FF4" w:rsidRPr="00447F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5DF" w:rsidRDefault="00CF75DF" w:rsidP="00C23FF4">
      <w:pPr>
        <w:spacing w:after="0" w:line="240" w:lineRule="auto"/>
      </w:pPr>
      <w:r>
        <w:separator/>
      </w:r>
    </w:p>
  </w:endnote>
  <w:endnote w:type="continuationSeparator" w:id="0">
    <w:p w:rsidR="00CF75DF" w:rsidRDefault="00CF75DF" w:rsidP="00C23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5DF" w:rsidRDefault="00CF75DF" w:rsidP="00C23FF4">
      <w:pPr>
        <w:spacing w:after="0" w:line="240" w:lineRule="auto"/>
      </w:pPr>
      <w:r>
        <w:separator/>
      </w:r>
    </w:p>
  </w:footnote>
  <w:footnote w:type="continuationSeparator" w:id="0">
    <w:p w:rsidR="00CF75DF" w:rsidRDefault="00CF75DF" w:rsidP="00C23FF4">
      <w:pPr>
        <w:spacing w:after="0" w:line="240" w:lineRule="auto"/>
      </w:pPr>
      <w:r>
        <w:continuationSeparator/>
      </w:r>
    </w:p>
  </w:footnote>
  <w:footnote w:id="1">
    <w:p w:rsidR="00E738BF" w:rsidRDefault="00E738BF">
      <w:pPr>
        <w:pStyle w:val="FootnoteText"/>
      </w:pPr>
      <w:r>
        <w:rPr>
          <w:rStyle w:val="FootnoteReference"/>
        </w:rPr>
        <w:footnoteRef/>
      </w:r>
      <w:r>
        <w:t xml:space="preserve"> Nr. 215/2007, með áorðnum breytingum skv. reglum nr. 1167/2008, </w:t>
      </w:r>
      <w:r w:rsidR="00981238">
        <w:t xml:space="preserve">nr. </w:t>
      </w:r>
      <w:r>
        <w:t xml:space="preserve">378/2011, </w:t>
      </w:r>
      <w:r w:rsidR="00981238">
        <w:t xml:space="preserve">nr. </w:t>
      </w:r>
      <w:r>
        <w:t xml:space="preserve">222/2012 og </w:t>
      </w:r>
      <w:r w:rsidR="00981238">
        <w:t xml:space="preserve">nr. </w:t>
      </w:r>
      <w:bookmarkStart w:id="0" w:name="_GoBack"/>
      <w:bookmarkEnd w:id="0"/>
      <w:r>
        <w:t>232/2012.</w:t>
      </w:r>
    </w:p>
  </w:footnote>
  <w:footnote w:id="2">
    <w:p w:rsidR="00C23FF4" w:rsidRPr="00447F64" w:rsidRDefault="00C23FF4">
      <w:pPr>
        <w:pStyle w:val="FootnoteText"/>
        <w:rPr>
          <w:rFonts w:ascii="Arial" w:hAnsi="Arial" w:cs="Arial"/>
        </w:rPr>
      </w:pPr>
      <w:r w:rsidRPr="00447F64">
        <w:rPr>
          <w:rStyle w:val="FootnoteReference"/>
          <w:rFonts w:ascii="Arial" w:hAnsi="Arial" w:cs="Arial"/>
        </w:rPr>
        <w:footnoteRef/>
      </w:r>
      <w:r w:rsidRPr="00447F64">
        <w:rPr>
          <w:rFonts w:ascii="Arial" w:hAnsi="Arial" w:cs="Arial"/>
        </w:rPr>
        <w:t xml:space="preserve"> </w:t>
      </w:r>
      <w:r w:rsidRPr="00447F64">
        <w:rPr>
          <w:rFonts w:ascii="Arial" w:hAnsi="Arial" w:cs="Arial"/>
        </w:rPr>
        <w:t>Breytt með 1. gr. reglna nr. 1167/2008.</w:t>
      </w:r>
    </w:p>
  </w:footnote>
  <w:footnote w:id="3">
    <w:p w:rsidR="00C23FF4" w:rsidRPr="00447F64" w:rsidRDefault="00C23FF4">
      <w:pPr>
        <w:pStyle w:val="FootnoteText"/>
        <w:rPr>
          <w:rFonts w:ascii="Arial" w:hAnsi="Arial" w:cs="Arial"/>
        </w:rPr>
      </w:pPr>
      <w:r w:rsidRPr="00447F64">
        <w:rPr>
          <w:rStyle w:val="FootnoteReference"/>
          <w:rFonts w:ascii="Arial" w:hAnsi="Arial" w:cs="Arial"/>
        </w:rPr>
        <w:footnoteRef/>
      </w:r>
      <w:r w:rsidRPr="00447F64">
        <w:rPr>
          <w:rFonts w:ascii="Arial" w:hAnsi="Arial" w:cs="Arial"/>
        </w:rPr>
        <w:t xml:space="preserve"> </w:t>
      </w:r>
      <w:r w:rsidRPr="00447F64">
        <w:rPr>
          <w:rFonts w:ascii="Arial" w:hAnsi="Arial" w:cs="Arial"/>
        </w:rPr>
        <w:t>Breytt með 2. gr. reglna nr. 1167/2008.</w:t>
      </w:r>
    </w:p>
  </w:footnote>
  <w:footnote w:id="4">
    <w:p w:rsidR="00C23FF4" w:rsidRPr="00447F64" w:rsidRDefault="00C23FF4">
      <w:pPr>
        <w:pStyle w:val="FootnoteText"/>
        <w:rPr>
          <w:rFonts w:ascii="Arial" w:hAnsi="Arial" w:cs="Arial"/>
        </w:rPr>
      </w:pPr>
      <w:r w:rsidRPr="00447F64">
        <w:rPr>
          <w:rStyle w:val="FootnoteReference"/>
          <w:rFonts w:ascii="Arial" w:hAnsi="Arial" w:cs="Arial"/>
        </w:rPr>
        <w:footnoteRef/>
      </w:r>
      <w:r w:rsidRPr="00447F64">
        <w:rPr>
          <w:rFonts w:ascii="Arial" w:hAnsi="Arial" w:cs="Arial"/>
        </w:rPr>
        <w:t xml:space="preserve"> </w:t>
      </w:r>
      <w:r w:rsidRPr="00447F64">
        <w:rPr>
          <w:rFonts w:ascii="Arial" w:hAnsi="Arial" w:cs="Arial"/>
        </w:rPr>
        <w:t>Breytt með 3. gr. reglna nr. 1167/2008.</w:t>
      </w:r>
    </w:p>
  </w:footnote>
  <w:footnote w:id="5">
    <w:p w:rsidR="00C23FF4" w:rsidRPr="00447F64" w:rsidRDefault="00C23FF4">
      <w:pPr>
        <w:pStyle w:val="FootnoteText"/>
        <w:rPr>
          <w:rFonts w:ascii="Arial" w:hAnsi="Arial" w:cs="Arial"/>
        </w:rPr>
      </w:pPr>
      <w:r w:rsidRPr="00447F64">
        <w:rPr>
          <w:rStyle w:val="FootnoteReference"/>
          <w:rFonts w:ascii="Arial" w:hAnsi="Arial" w:cs="Arial"/>
        </w:rPr>
        <w:footnoteRef/>
      </w:r>
      <w:r w:rsidRPr="00447F64">
        <w:rPr>
          <w:rFonts w:ascii="Arial" w:hAnsi="Arial" w:cs="Arial"/>
        </w:rPr>
        <w:t xml:space="preserve"> </w:t>
      </w:r>
      <w:r w:rsidRPr="00447F64">
        <w:rPr>
          <w:rFonts w:ascii="Arial" w:hAnsi="Arial" w:cs="Arial"/>
        </w:rPr>
        <w:t>Breytt með 4. gr. reglna nr. 1167/2008.</w:t>
      </w:r>
    </w:p>
  </w:footnote>
  <w:footnote w:id="6">
    <w:p w:rsidR="00C23FF4" w:rsidRPr="00447F64" w:rsidRDefault="00C23FF4">
      <w:pPr>
        <w:pStyle w:val="FootnoteText"/>
        <w:rPr>
          <w:rFonts w:ascii="Arial" w:hAnsi="Arial" w:cs="Arial"/>
        </w:rPr>
      </w:pPr>
      <w:r w:rsidRPr="00447F64">
        <w:rPr>
          <w:rStyle w:val="FootnoteReference"/>
          <w:rFonts w:ascii="Arial" w:hAnsi="Arial" w:cs="Arial"/>
        </w:rPr>
        <w:footnoteRef/>
      </w:r>
      <w:r w:rsidRPr="00447F64">
        <w:rPr>
          <w:rFonts w:ascii="Arial" w:hAnsi="Arial" w:cs="Arial"/>
        </w:rPr>
        <w:t xml:space="preserve"> </w:t>
      </w:r>
      <w:r w:rsidRPr="00447F64">
        <w:rPr>
          <w:rFonts w:ascii="Arial" w:hAnsi="Arial" w:cs="Arial"/>
        </w:rPr>
        <w:t>Breytt með 1. gr. reglna nr. 378/2011.</w:t>
      </w:r>
    </w:p>
  </w:footnote>
  <w:footnote w:id="7">
    <w:p w:rsidR="00C23FF4" w:rsidRPr="00447F64" w:rsidRDefault="00C23FF4">
      <w:pPr>
        <w:pStyle w:val="FootnoteText"/>
        <w:rPr>
          <w:rFonts w:ascii="Arial" w:hAnsi="Arial" w:cs="Arial"/>
        </w:rPr>
      </w:pPr>
      <w:r w:rsidRPr="00447F64">
        <w:rPr>
          <w:rStyle w:val="FootnoteReference"/>
          <w:rFonts w:ascii="Arial" w:hAnsi="Arial" w:cs="Arial"/>
        </w:rPr>
        <w:footnoteRef/>
      </w:r>
      <w:r w:rsidRPr="00447F64">
        <w:rPr>
          <w:rFonts w:ascii="Arial" w:hAnsi="Arial" w:cs="Arial"/>
        </w:rPr>
        <w:t xml:space="preserve"> </w:t>
      </w:r>
      <w:r w:rsidRPr="00447F64">
        <w:rPr>
          <w:rFonts w:ascii="Arial" w:hAnsi="Arial" w:cs="Arial"/>
        </w:rPr>
        <w:t>Breytt með 5. gr. reglna nr. 1167/2008.</w:t>
      </w:r>
    </w:p>
  </w:footnote>
  <w:footnote w:id="8">
    <w:p w:rsidR="00C23FF4" w:rsidRPr="00447F64" w:rsidRDefault="00C23FF4">
      <w:pPr>
        <w:pStyle w:val="FootnoteText"/>
        <w:rPr>
          <w:rFonts w:ascii="Arial" w:hAnsi="Arial" w:cs="Arial"/>
        </w:rPr>
      </w:pPr>
      <w:r w:rsidRPr="00447F64">
        <w:rPr>
          <w:rStyle w:val="FootnoteReference"/>
          <w:rFonts w:ascii="Arial" w:hAnsi="Arial" w:cs="Arial"/>
        </w:rPr>
        <w:footnoteRef/>
      </w:r>
      <w:r w:rsidRPr="00447F64">
        <w:rPr>
          <w:rFonts w:ascii="Arial" w:hAnsi="Arial" w:cs="Arial"/>
        </w:rPr>
        <w:t xml:space="preserve"> </w:t>
      </w:r>
      <w:r w:rsidRPr="00447F64">
        <w:rPr>
          <w:rFonts w:ascii="Arial" w:hAnsi="Arial" w:cs="Arial"/>
        </w:rPr>
        <w:t>Breytt með 6. gr. reglna nr. 1167/2008.</w:t>
      </w:r>
    </w:p>
  </w:footnote>
  <w:footnote w:id="9">
    <w:p w:rsidR="00C23FF4" w:rsidRPr="00447F64" w:rsidRDefault="00C23FF4">
      <w:pPr>
        <w:pStyle w:val="FootnoteText"/>
        <w:rPr>
          <w:rFonts w:ascii="Arial" w:hAnsi="Arial" w:cs="Arial"/>
        </w:rPr>
      </w:pPr>
      <w:r w:rsidRPr="00447F64">
        <w:rPr>
          <w:rStyle w:val="FootnoteReference"/>
          <w:rFonts w:ascii="Arial" w:hAnsi="Arial" w:cs="Arial"/>
        </w:rPr>
        <w:footnoteRef/>
      </w:r>
      <w:r w:rsidRPr="00447F64">
        <w:rPr>
          <w:rFonts w:ascii="Arial" w:hAnsi="Arial" w:cs="Arial"/>
        </w:rPr>
        <w:t xml:space="preserve"> </w:t>
      </w:r>
      <w:r w:rsidRPr="00447F64">
        <w:rPr>
          <w:rFonts w:ascii="Arial" w:hAnsi="Arial" w:cs="Arial"/>
        </w:rPr>
        <w:t xml:space="preserve">Breytt með 2. gr. reglna nr. 378/2011. </w:t>
      </w:r>
    </w:p>
  </w:footnote>
  <w:footnote w:id="10">
    <w:p w:rsidR="00C23FF4" w:rsidRPr="00447F64" w:rsidRDefault="00C23FF4">
      <w:pPr>
        <w:pStyle w:val="FootnoteText"/>
        <w:rPr>
          <w:rFonts w:ascii="Arial" w:hAnsi="Arial" w:cs="Arial"/>
        </w:rPr>
      </w:pPr>
      <w:r w:rsidRPr="00447F64">
        <w:rPr>
          <w:rStyle w:val="FootnoteReference"/>
          <w:rFonts w:ascii="Arial" w:hAnsi="Arial" w:cs="Arial"/>
        </w:rPr>
        <w:footnoteRef/>
      </w:r>
      <w:r w:rsidRPr="00447F64">
        <w:rPr>
          <w:rFonts w:ascii="Arial" w:hAnsi="Arial" w:cs="Arial"/>
        </w:rPr>
        <w:t xml:space="preserve"> </w:t>
      </w:r>
      <w:r w:rsidRPr="00447F64">
        <w:rPr>
          <w:rFonts w:ascii="Arial" w:hAnsi="Arial" w:cs="Arial"/>
        </w:rPr>
        <w:t>Breytt með 3. gr. reglna nr. 378/2011.</w:t>
      </w:r>
    </w:p>
  </w:footnote>
  <w:footnote w:id="11">
    <w:p w:rsidR="00C23FF4" w:rsidRPr="00447F64" w:rsidRDefault="00C23FF4">
      <w:pPr>
        <w:pStyle w:val="FootnoteText"/>
        <w:rPr>
          <w:rFonts w:ascii="Arial" w:hAnsi="Arial" w:cs="Arial"/>
        </w:rPr>
      </w:pPr>
      <w:r w:rsidRPr="00447F64">
        <w:rPr>
          <w:rStyle w:val="FootnoteReference"/>
          <w:rFonts w:ascii="Arial" w:hAnsi="Arial" w:cs="Arial"/>
        </w:rPr>
        <w:footnoteRef/>
      </w:r>
      <w:r w:rsidRPr="00447F64">
        <w:rPr>
          <w:rFonts w:ascii="Arial" w:hAnsi="Arial" w:cs="Arial"/>
        </w:rPr>
        <w:t xml:space="preserve"> </w:t>
      </w:r>
      <w:r w:rsidRPr="00447F64">
        <w:rPr>
          <w:rFonts w:ascii="Arial" w:hAnsi="Arial" w:cs="Arial"/>
        </w:rPr>
        <w:t>Breytt með 3. gr. reglna nr. 378/2011.</w:t>
      </w:r>
    </w:p>
  </w:footnote>
  <w:footnote w:id="12">
    <w:p w:rsidR="00C23FF4" w:rsidRPr="00447F64" w:rsidRDefault="00C23FF4">
      <w:pPr>
        <w:pStyle w:val="FootnoteText"/>
        <w:rPr>
          <w:rFonts w:ascii="Arial" w:hAnsi="Arial" w:cs="Arial"/>
        </w:rPr>
      </w:pPr>
      <w:r w:rsidRPr="00447F64">
        <w:rPr>
          <w:rStyle w:val="FootnoteReference"/>
          <w:rFonts w:ascii="Arial" w:hAnsi="Arial" w:cs="Arial"/>
        </w:rPr>
        <w:footnoteRef/>
      </w:r>
      <w:r w:rsidRPr="00447F64">
        <w:rPr>
          <w:rFonts w:ascii="Arial" w:hAnsi="Arial" w:cs="Arial"/>
        </w:rPr>
        <w:t xml:space="preserve"> </w:t>
      </w:r>
      <w:r w:rsidRPr="00447F64">
        <w:rPr>
          <w:rFonts w:ascii="Arial" w:hAnsi="Arial" w:cs="Arial"/>
        </w:rPr>
        <w:t>Breytt með 7. gr. reglna nr. 1167/2008.</w:t>
      </w:r>
    </w:p>
  </w:footnote>
  <w:footnote w:id="13">
    <w:p w:rsidR="00C23FF4" w:rsidRPr="00447F64" w:rsidRDefault="00C23FF4">
      <w:pPr>
        <w:pStyle w:val="FootnoteText"/>
        <w:rPr>
          <w:rFonts w:ascii="Arial" w:hAnsi="Arial" w:cs="Arial"/>
        </w:rPr>
      </w:pPr>
      <w:r w:rsidRPr="00447F64">
        <w:rPr>
          <w:rStyle w:val="FootnoteReference"/>
          <w:rFonts w:ascii="Arial" w:hAnsi="Arial" w:cs="Arial"/>
        </w:rPr>
        <w:footnoteRef/>
      </w:r>
      <w:r w:rsidRPr="00447F64">
        <w:rPr>
          <w:rFonts w:ascii="Arial" w:hAnsi="Arial" w:cs="Arial"/>
        </w:rPr>
        <w:t xml:space="preserve"> </w:t>
      </w:r>
      <w:r w:rsidRPr="00447F64">
        <w:rPr>
          <w:rFonts w:ascii="Arial" w:hAnsi="Arial" w:cs="Arial"/>
        </w:rPr>
        <w:t>Breytt með 4. gr. reglna nr. 378/2011.</w:t>
      </w:r>
    </w:p>
  </w:footnote>
  <w:footnote w:id="14">
    <w:p w:rsidR="00B576B9" w:rsidRPr="00447F64" w:rsidRDefault="00B576B9">
      <w:pPr>
        <w:pStyle w:val="FootnoteText"/>
        <w:rPr>
          <w:rFonts w:ascii="Arial" w:hAnsi="Arial" w:cs="Arial"/>
        </w:rPr>
      </w:pPr>
      <w:r w:rsidRPr="00447F64">
        <w:rPr>
          <w:rStyle w:val="FootnoteReference"/>
          <w:rFonts w:ascii="Arial" w:hAnsi="Arial" w:cs="Arial"/>
        </w:rPr>
        <w:footnoteRef/>
      </w:r>
      <w:r w:rsidRPr="00447F64">
        <w:rPr>
          <w:rFonts w:ascii="Arial" w:hAnsi="Arial" w:cs="Arial"/>
        </w:rPr>
        <w:t xml:space="preserve"> </w:t>
      </w:r>
      <w:r w:rsidRPr="00447F64">
        <w:rPr>
          <w:rFonts w:ascii="Arial" w:hAnsi="Arial" w:cs="Arial"/>
        </w:rPr>
        <w:t>Breytt með 5. gr. reglna nr. 378/2011.</w:t>
      </w:r>
    </w:p>
  </w:footnote>
  <w:footnote w:id="15">
    <w:p w:rsidR="00B576B9" w:rsidRPr="00447F64" w:rsidRDefault="00B576B9">
      <w:pPr>
        <w:pStyle w:val="FootnoteText"/>
        <w:rPr>
          <w:rFonts w:ascii="Arial" w:hAnsi="Arial" w:cs="Arial"/>
        </w:rPr>
      </w:pPr>
      <w:r w:rsidRPr="00447F64">
        <w:rPr>
          <w:rStyle w:val="FootnoteReference"/>
          <w:rFonts w:ascii="Arial" w:hAnsi="Arial" w:cs="Arial"/>
        </w:rPr>
        <w:footnoteRef/>
      </w:r>
      <w:r w:rsidRPr="00447F64">
        <w:rPr>
          <w:rFonts w:ascii="Arial" w:hAnsi="Arial" w:cs="Arial"/>
        </w:rPr>
        <w:t xml:space="preserve"> </w:t>
      </w:r>
      <w:r w:rsidRPr="00447F64">
        <w:rPr>
          <w:rFonts w:ascii="Arial" w:eastAsia="Times New Roman" w:hAnsi="Arial" w:cs="Arial"/>
          <w:lang w:eastAsia="is-IS"/>
        </w:rPr>
        <w:t>Breytt með 6. gr. reglna nr. 378/2011.</w:t>
      </w:r>
    </w:p>
  </w:footnote>
  <w:footnote w:id="16">
    <w:p w:rsidR="00B576B9" w:rsidRPr="00447F64" w:rsidRDefault="00B576B9">
      <w:pPr>
        <w:pStyle w:val="FootnoteText"/>
        <w:rPr>
          <w:rFonts w:ascii="Arial" w:hAnsi="Arial" w:cs="Arial"/>
        </w:rPr>
      </w:pPr>
      <w:r w:rsidRPr="00447F64">
        <w:rPr>
          <w:rStyle w:val="FootnoteReference"/>
          <w:rFonts w:ascii="Arial" w:hAnsi="Arial" w:cs="Arial"/>
        </w:rPr>
        <w:footnoteRef/>
      </w:r>
      <w:r w:rsidRPr="00447F64">
        <w:rPr>
          <w:rFonts w:ascii="Arial" w:hAnsi="Arial" w:cs="Arial"/>
        </w:rPr>
        <w:t xml:space="preserve"> </w:t>
      </w:r>
      <w:r w:rsidRPr="00447F64">
        <w:rPr>
          <w:rFonts w:ascii="Arial" w:hAnsi="Arial" w:cs="Arial"/>
        </w:rPr>
        <w:t>Breytt með 8. gr. reglna nr. 1167/2008.</w:t>
      </w:r>
    </w:p>
  </w:footnote>
  <w:footnote w:id="17">
    <w:p w:rsidR="00B576B9" w:rsidRPr="00447F64" w:rsidRDefault="00B576B9">
      <w:pPr>
        <w:pStyle w:val="FootnoteText"/>
        <w:rPr>
          <w:rFonts w:ascii="Arial" w:hAnsi="Arial" w:cs="Arial"/>
        </w:rPr>
      </w:pPr>
      <w:r w:rsidRPr="00447F64">
        <w:rPr>
          <w:rStyle w:val="FootnoteReference"/>
          <w:rFonts w:ascii="Arial" w:hAnsi="Arial" w:cs="Arial"/>
        </w:rPr>
        <w:footnoteRef/>
      </w:r>
      <w:r w:rsidRPr="00447F64">
        <w:rPr>
          <w:rFonts w:ascii="Arial" w:hAnsi="Arial" w:cs="Arial"/>
        </w:rPr>
        <w:t xml:space="preserve"> </w:t>
      </w:r>
      <w:r w:rsidRPr="00447F64">
        <w:rPr>
          <w:rFonts w:ascii="Arial" w:hAnsi="Arial" w:cs="Arial"/>
        </w:rPr>
        <w:t>Breytt með 7. gr. reglna nr. 378/2011.</w:t>
      </w:r>
    </w:p>
  </w:footnote>
  <w:footnote w:id="18">
    <w:p w:rsidR="00B576B9" w:rsidRPr="00447F64" w:rsidRDefault="00B576B9">
      <w:pPr>
        <w:pStyle w:val="FootnoteText"/>
        <w:rPr>
          <w:rFonts w:ascii="Arial" w:hAnsi="Arial" w:cs="Arial"/>
        </w:rPr>
      </w:pPr>
      <w:r w:rsidRPr="00447F64">
        <w:rPr>
          <w:rStyle w:val="FootnoteReference"/>
          <w:rFonts w:ascii="Arial" w:hAnsi="Arial" w:cs="Arial"/>
        </w:rPr>
        <w:footnoteRef/>
      </w:r>
      <w:r w:rsidRPr="00447F64">
        <w:rPr>
          <w:rFonts w:ascii="Arial" w:hAnsi="Arial" w:cs="Arial"/>
        </w:rPr>
        <w:t xml:space="preserve"> </w:t>
      </w:r>
      <w:r w:rsidRPr="00447F64">
        <w:rPr>
          <w:rFonts w:ascii="Arial" w:hAnsi="Arial" w:cs="Arial"/>
        </w:rPr>
        <w:t>Breytt með 9. gr. reglna nr. 1167/2008.</w:t>
      </w:r>
    </w:p>
  </w:footnote>
  <w:footnote w:id="19">
    <w:p w:rsidR="00B576B9" w:rsidRPr="00447F64" w:rsidRDefault="00B576B9">
      <w:pPr>
        <w:pStyle w:val="FootnoteText"/>
        <w:rPr>
          <w:rFonts w:ascii="Arial" w:hAnsi="Arial" w:cs="Arial"/>
        </w:rPr>
      </w:pPr>
      <w:r w:rsidRPr="00447F64">
        <w:rPr>
          <w:rStyle w:val="FootnoteReference"/>
          <w:rFonts w:ascii="Arial" w:hAnsi="Arial" w:cs="Arial"/>
        </w:rPr>
        <w:footnoteRef/>
      </w:r>
      <w:r w:rsidRPr="00447F64">
        <w:rPr>
          <w:rFonts w:ascii="Arial" w:hAnsi="Arial" w:cs="Arial"/>
        </w:rPr>
        <w:t xml:space="preserve"> </w:t>
      </w:r>
      <w:r w:rsidR="00E738BF">
        <w:rPr>
          <w:rFonts w:ascii="Arial" w:hAnsi="Arial" w:cs="Arial"/>
        </w:rPr>
        <w:t xml:space="preserve">Nýr málsliður bættist við </w:t>
      </w:r>
      <w:r w:rsidRPr="00447F64">
        <w:rPr>
          <w:rFonts w:ascii="Arial" w:hAnsi="Arial" w:cs="Arial"/>
        </w:rPr>
        <w:t>3. mgr. 15. gr. með 8. gr. reglna nr. 378/2011.</w:t>
      </w:r>
    </w:p>
  </w:footnote>
  <w:footnote w:id="20">
    <w:p w:rsidR="00B576B9" w:rsidRPr="00447F64" w:rsidRDefault="00B576B9">
      <w:pPr>
        <w:pStyle w:val="FootnoteText"/>
        <w:rPr>
          <w:rFonts w:ascii="Arial" w:hAnsi="Arial" w:cs="Arial"/>
        </w:rPr>
      </w:pPr>
      <w:r w:rsidRPr="00447F64">
        <w:rPr>
          <w:rStyle w:val="FootnoteReference"/>
          <w:rFonts w:ascii="Arial" w:hAnsi="Arial" w:cs="Arial"/>
        </w:rPr>
        <w:footnoteRef/>
      </w:r>
      <w:r w:rsidRPr="00447F64">
        <w:rPr>
          <w:rFonts w:ascii="Arial" w:hAnsi="Arial" w:cs="Arial"/>
        </w:rPr>
        <w:t xml:space="preserve"> </w:t>
      </w:r>
      <w:r w:rsidRPr="00447F64">
        <w:rPr>
          <w:rStyle w:val="CommentReference"/>
          <w:rFonts w:ascii="Arial" w:hAnsi="Arial" w:cs="Arial"/>
          <w:sz w:val="20"/>
          <w:szCs w:val="20"/>
        </w:rPr>
        <w:t>Breytt með 10. gr. reglna nr. 1167/2008.</w:t>
      </w:r>
    </w:p>
  </w:footnote>
  <w:footnote w:id="21">
    <w:p w:rsidR="00B576B9" w:rsidRPr="00447F64" w:rsidRDefault="00B576B9">
      <w:pPr>
        <w:pStyle w:val="FootnoteText"/>
        <w:rPr>
          <w:rFonts w:ascii="Arial" w:hAnsi="Arial" w:cs="Arial"/>
        </w:rPr>
      </w:pPr>
      <w:r w:rsidRPr="00447F64">
        <w:rPr>
          <w:rStyle w:val="FootnoteReference"/>
          <w:rFonts w:ascii="Arial" w:hAnsi="Arial" w:cs="Arial"/>
        </w:rPr>
        <w:footnoteRef/>
      </w:r>
      <w:r w:rsidRPr="00447F64">
        <w:rPr>
          <w:rFonts w:ascii="Arial" w:hAnsi="Arial" w:cs="Arial"/>
        </w:rPr>
        <w:t xml:space="preserve"> </w:t>
      </w:r>
      <w:r w:rsidRPr="00447F64">
        <w:rPr>
          <w:rStyle w:val="CommentReference"/>
          <w:rFonts w:ascii="Arial" w:hAnsi="Arial" w:cs="Arial"/>
          <w:sz w:val="20"/>
          <w:szCs w:val="20"/>
        </w:rPr>
        <w:t>Breytt með 10. gr. reglna nr. 1167/2008.</w:t>
      </w:r>
    </w:p>
  </w:footnote>
  <w:footnote w:id="22">
    <w:p w:rsidR="00B576B9" w:rsidRPr="00447F64" w:rsidRDefault="00B576B9">
      <w:pPr>
        <w:pStyle w:val="FootnoteText"/>
        <w:rPr>
          <w:rFonts w:ascii="Arial" w:hAnsi="Arial" w:cs="Arial"/>
        </w:rPr>
      </w:pPr>
      <w:r w:rsidRPr="00447F64">
        <w:rPr>
          <w:rStyle w:val="FootnoteReference"/>
          <w:rFonts w:ascii="Arial" w:hAnsi="Arial" w:cs="Arial"/>
        </w:rPr>
        <w:footnoteRef/>
      </w:r>
      <w:r w:rsidRPr="00447F64">
        <w:rPr>
          <w:rFonts w:ascii="Arial" w:hAnsi="Arial" w:cs="Arial"/>
        </w:rPr>
        <w:t xml:space="preserve"> </w:t>
      </w:r>
      <w:r w:rsidRPr="00447F64">
        <w:rPr>
          <w:rStyle w:val="CommentReference"/>
          <w:rFonts w:ascii="Arial" w:hAnsi="Arial" w:cs="Arial"/>
          <w:sz w:val="20"/>
          <w:szCs w:val="20"/>
        </w:rPr>
        <w:t>Breytt með 11. gr. reglna nr. 1167/2008.</w:t>
      </w:r>
    </w:p>
  </w:footnote>
  <w:footnote w:id="23">
    <w:p w:rsidR="00B576B9" w:rsidRPr="00447F64" w:rsidRDefault="00B576B9">
      <w:pPr>
        <w:pStyle w:val="FootnoteText"/>
        <w:rPr>
          <w:rFonts w:ascii="Arial" w:hAnsi="Arial" w:cs="Arial"/>
        </w:rPr>
      </w:pPr>
      <w:r w:rsidRPr="00447F64">
        <w:rPr>
          <w:rStyle w:val="FootnoteReference"/>
          <w:rFonts w:ascii="Arial" w:hAnsi="Arial" w:cs="Arial"/>
        </w:rPr>
        <w:footnoteRef/>
      </w:r>
      <w:r w:rsidRPr="00447F64">
        <w:rPr>
          <w:rFonts w:ascii="Arial" w:hAnsi="Arial" w:cs="Arial"/>
        </w:rPr>
        <w:t xml:space="preserve"> </w:t>
      </w:r>
      <w:r w:rsidRPr="00447F64">
        <w:rPr>
          <w:rStyle w:val="CommentReference"/>
          <w:rFonts w:ascii="Arial" w:hAnsi="Arial" w:cs="Arial"/>
          <w:sz w:val="20"/>
          <w:szCs w:val="20"/>
        </w:rPr>
        <w:t>Breytt með 12. gr. reglna nr. 1167/2008.</w:t>
      </w:r>
    </w:p>
  </w:footnote>
  <w:footnote w:id="24">
    <w:p w:rsidR="00B576B9" w:rsidRPr="00447F64" w:rsidRDefault="00B576B9">
      <w:pPr>
        <w:pStyle w:val="FootnoteText"/>
        <w:rPr>
          <w:rFonts w:ascii="Arial" w:hAnsi="Arial" w:cs="Arial"/>
        </w:rPr>
      </w:pPr>
      <w:r w:rsidRPr="00447F64">
        <w:rPr>
          <w:rStyle w:val="FootnoteReference"/>
          <w:rFonts w:ascii="Arial" w:hAnsi="Arial" w:cs="Arial"/>
        </w:rPr>
        <w:footnoteRef/>
      </w:r>
      <w:r w:rsidRPr="00447F64">
        <w:rPr>
          <w:rFonts w:ascii="Arial" w:hAnsi="Arial" w:cs="Arial"/>
        </w:rPr>
        <w:t xml:space="preserve"> </w:t>
      </w:r>
      <w:r w:rsidRPr="00447F64">
        <w:rPr>
          <w:rStyle w:val="CommentReference"/>
          <w:rFonts w:ascii="Arial" w:hAnsi="Arial" w:cs="Arial"/>
          <w:sz w:val="20"/>
          <w:szCs w:val="20"/>
        </w:rPr>
        <w:t>Breytt með 13. gr. reglna nr. 1167/2008.</w:t>
      </w:r>
    </w:p>
  </w:footnote>
  <w:footnote w:id="25">
    <w:p w:rsidR="00B576B9" w:rsidRPr="00447F64" w:rsidRDefault="00B576B9">
      <w:pPr>
        <w:pStyle w:val="FootnoteText"/>
        <w:rPr>
          <w:rFonts w:ascii="Arial" w:hAnsi="Arial" w:cs="Arial"/>
        </w:rPr>
      </w:pPr>
      <w:r w:rsidRPr="00447F64">
        <w:rPr>
          <w:rStyle w:val="FootnoteReference"/>
          <w:rFonts w:ascii="Arial" w:hAnsi="Arial" w:cs="Arial"/>
        </w:rPr>
        <w:footnoteRef/>
      </w:r>
      <w:r w:rsidRPr="00447F64">
        <w:rPr>
          <w:rFonts w:ascii="Arial" w:hAnsi="Arial" w:cs="Arial"/>
        </w:rPr>
        <w:t xml:space="preserve"> </w:t>
      </w:r>
      <w:r w:rsidRPr="00447F64">
        <w:rPr>
          <w:rFonts w:ascii="Arial" w:hAnsi="Arial" w:cs="Arial"/>
        </w:rPr>
        <w:t>Bætt við með 1. gr. reglna nr. 222/2012.</w:t>
      </w:r>
    </w:p>
  </w:footnote>
  <w:footnote w:id="26">
    <w:p w:rsidR="00B576B9" w:rsidRPr="00447F64" w:rsidRDefault="00B576B9">
      <w:pPr>
        <w:pStyle w:val="FootnoteText"/>
        <w:rPr>
          <w:rFonts w:ascii="Arial" w:hAnsi="Arial" w:cs="Arial"/>
        </w:rPr>
      </w:pPr>
      <w:r w:rsidRPr="00447F64">
        <w:rPr>
          <w:rStyle w:val="FootnoteReference"/>
          <w:rFonts w:ascii="Arial" w:hAnsi="Arial" w:cs="Arial"/>
        </w:rPr>
        <w:footnoteRef/>
      </w:r>
      <w:r w:rsidRPr="00447F64">
        <w:rPr>
          <w:rFonts w:ascii="Arial" w:hAnsi="Arial" w:cs="Arial"/>
        </w:rPr>
        <w:t xml:space="preserve"> </w:t>
      </w:r>
      <w:r w:rsidRPr="00447F64">
        <w:rPr>
          <w:rStyle w:val="CommentReference"/>
          <w:rFonts w:ascii="Arial" w:hAnsi="Arial" w:cs="Arial"/>
          <w:sz w:val="20"/>
          <w:szCs w:val="20"/>
        </w:rPr>
        <w:t>Breytt með 14. gr. reglna nr. 1167/2008. F-liður tekinn út.</w:t>
      </w:r>
    </w:p>
  </w:footnote>
  <w:footnote w:id="27">
    <w:p w:rsidR="00B576B9" w:rsidRPr="00447F64" w:rsidRDefault="00B576B9">
      <w:pPr>
        <w:pStyle w:val="FootnoteText"/>
        <w:rPr>
          <w:rFonts w:ascii="Arial" w:hAnsi="Arial" w:cs="Arial"/>
        </w:rPr>
      </w:pPr>
      <w:r w:rsidRPr="00447F64">
        <w:rPr>
          <w:rStyle w:val="FootnoteReference"/>
          <w:rFonts w:ascii="Arial" w:hAnsi="Arial" w:cs="Arial"/>
        </w:rPr>
        <w:footnoteRef/>
      </w:r>
      <w:r w:rsidRPr="00447F64">
        <w:rPr>
          <w:rFonts w:ascii="Arial" w:hAnsi="Arial" w:cs="Arial"/>
        </w:rPr>
        <w:t xml:space="preserve"> </w:t>
      </w:r>
      <w:r w:rsidRPr="00447F64">
        <w:rPr>
          <w:rFonts w:ascii="Arial" w:hAnsi="Arial" w:cs="Arial"/>
        </w:rPr>
        <w:t>Breytt með 15. gr. reglna nr. 1167/2008.</w:t>
      </w:r>
    </w:p>
  </w:footnote>
  <w:footnote w:id="28">
    <w:p w:rsidR="00B576B9" w:rsidRPr="00447F64" w:rsidRDefault="00B576B9">
      <w:pPr>
        <w:pStyle w:val="FootnoteText"/>
        <w:rPr>
          <w:rFonts w:ascii="Arial" w:hAnsi="Arial" w:cs="Arial"/>
        </w:rPr>
      </w:pPr>
      <w:r w:rsidRPr="00447F64">
        <w:rPr>
          <w:rStyle w:val="FootnoteReference"/>
          <w:rFonts w:ascii="Arial" w:hAnsi="Arial" w:cs="Arial"/>
        </w:rPr>
        <w:footnoteRef/>
      </w:r>
      <w:r w:rsidRPr="00447F64">
        <w:rPr>
          <w:rFonts w:ascii="Arial" w:hAnsi="Arial" w:cs="Arial"/>
        </w:rPr>
        <w:t xml:space="preserve"> </w:t>
      </w:r>
      <w:r w:rsidRPr="00447F64">
        <w:rPr>
          <w:rFonts w:ascii="Arial" w:eastAsia="Times New Roman" w:hAnsi="Arial" w:cs="Arial"/>
          <w:lang w:eastAsia="is-IS"/>
        </w:rPr>
        <w:t>Breytt með 2. gr. reglna nr. 222/2012.</w:t>
      </w:r>
    </w:p>
  </w:footnote>
  <w:footnote w:id="29">
    <w:p w:rsidR="00447F64" w:rsidRPr="00447F64" w:rsidRDefault="00447F64">
      <w:pPr>
        <w:pStyle w:val="FootnoteText"/>
        <w:rPr>
          <w:rFonts w:ascii="Arial" w:hAnsi="Arial" w:cs="Arial"/>
        </w:rPr>
      </w:pPr>
      <w:r w:rsidRPr="00447F64">
        <w:rPr>
          <w:rStyle w:val="FootnoteReference"/>
          <w:rFonts w:ascii="Arial" w:hAnsi="Arial" w:cs="Arial"/>
        </w:rPr>
        <w:footnoteRef/>
      </w:r>
      <w:r w:rsidRPr="00447F64">
        <w:rPr>
          <w:rFonts w:ascii="Arial" w:hAnsi="Arial" w:cs="Arial"/>
        </w:rPr>
        <w:t xml:space="preserve"> </w:t>
      </w:r>
      <w:r w:rsidRPr="00447F64">
        <w:rPr>
          <w:rFonts w:ascii="Arial" w:hAnsi="Arial" w:cs="Arial"/>
        </w:rPr>
        <w:t xml:space="preserve">Breytt með 16. gr. reglna nr. 1167/2008. </w:t>
      </w:r>
    </w:p>
  </w:footnote>
  <w:footnote w:id="30">
    <w:p w:rsidR="00447F64" w:rsidRPr="00447F64" w:rsidRDefault="00447F64">
      <w:pPr>
        <w:pStyle w:val="FootnoteText"/>
        <w:rPr>
          <w:rFonts w:ascii="Arial" w:hAnsi="Arial" w:cs="Arial"/>
        </w:rPr>
      </w:pPr>
      <w:r w:rsidRPr="00447F64">
        <w:rPr>
          <w:rStyle w:val="FootnoteReference"/>
          <w:rFonts w:ascii="Arial" w:hAnsi="Arial" w:cs="Arial"/>
        </w:rPr>
        <w:footnoteRef/>
      </w:r>
      <w:r w:rsidRPr="00447F64">
        <w:rPr>
          <w:rFonts w:ascii="Arial" w:hAnsi="Arial" w:cs="Arial"/>
        </w:rPr>
        <w:t xml:space="preserve"> </w:t>
      </w:r>
      <w:r w:rsidRPr="00447F64">
        <w:rPr>
          <w:rFonts w:ascii="Arial" w:hAnsi="Arial" w:cs="Arial"/>
        </w:rPr>
        <w:t xml:space="preserve">Breytt með 16. gr. reglna nr. 1167/2008. </w:t>
      </w:r>
    </w:p>
  </w:footnote>
  <w:footnote w:id="31">
    <w:p w:rsidR="00447F64" w:rsidRPr="00447F64" w:rsidRDefault="00447F64">
      <w:pPr>
        <w:pStyle w:val="FootnoteText"/>
        <w:rPr>
          <w:rFonts w:ascii="Arial" w:hAnsi="Arial" w:cs="Arial"/>
        </w:rPr>
      </w:pPr>
      <w:r w:rsidRPr="00447F64">
        <w:rPr>
          <w:rStyle w:val="FootnoteReference"/>
          <w:rFonts w:ascii="Arial" w:hAnsi="Arial" w:cs="Arial"/>
        </w:rPr>
        <w:footnoteRef/>
      </w:r>
      <w:r w:rsidRPr="00447F64">
        <w:rPr>
          <w:rFonts w:ascii="Arial" w:hAnsi="Arial" w:cs="Arial"/>
        </w:rPr>
        <w:t xml:space="preserve"> </w:t>
      </w:r>
      <w:r w:rsidRPr="00447F64">
        <w:rPr>
          <w:rFonts w:ascii="Arial" w:hAnsi="Arial" w:cs="Arial"/>
        </w:rPr>
        <w:t xml:space="preserve">Breytt með 17. gr. reglna nr. 1167/2008. </w:t>
      </w:r>
    </w:p>
  </w:footnote>
  <w:footnote w:id="32">
    <w:p w:rsidR="00447F64" w:rsidRPr="00447F64" w:rsidRDefault="00447F64">
      <w:pPr>
        <w:pStyle w:val="FootnoteText"/>
        <w:rPr>
          <w:rFonts w:ascii="Arial" w:hAnsi="Arial" w:cs="Arial"/>
        </w:rPr>
      </w:pPr>
      <w:r w:rsidRPr="00447F64">
        <w:rPr>
          <w:rStyle w:val="FootnoteReference"/>
          <w:rFonts w:ascii="Arial" w:hAnsi="Arial" w:cs="Arial"/>
        </w:rPr>
        <w:footnoteRef/>
      </w:r>
      <w:r w:rsidRPr="00447F64">
        <w:rPr>
          <w:rFonts w:ascii="Arial" w:hAnsi="Arial" w:cs="Arial"/>
        </w:rPr>
        <w:t xml:space="preserve"> </w:t>
      </w:r>
      <w:r w:rsidRPr="00447F64">
        <w:rPr>
          <w:rFonts w:ascii="Arial" w:hAnsi="Arial" w:cs="Arial"/>
        </w:rPr>
        <w:t xml:space="preserve">Breytt með 18. gr. reglna nr. 1167/2008. </w:t>
      </w:r>
    </w:p>
  </w:footnote>
  <w:footnote w:id="33">
    <w:p w:rsidR="00447F64" w:rsidRPr="00447F64" w:rsidRDefault="00447F64">
      <w:pPr>
        <w:pStyle w:val="FootnoteText"/>
        <w:rPr>
          <w:rFonts w:ascii="Arial" w:hAnsi="Arial" w:cs="Arial"/>
        </w:rPr>
      </w:pPr>
      <w:r w:rsidRPr="00447F64">
        <w:rPr>
          <w:rStyle w:val="FootnoteReference"/>
          <w:rFonts w:ascii="Arial" w:hAnsi="Arial" w:cs="Arial"/>
        </w:rPr>
        <w:footnoteRef/>
      </w:r>
      <w:r w:rsidRPr="00447F64">
        <w:rPr>
          <w:rFonts w:ascii="Arial" w:hAnsi="Arial" w:cs="Arial"/>
        </w:rPr>
        <w:t xml:space="preserve"> </w:t>
      </w:r>
      <w:r w:rsidRPr="00447F64">
        <w:rPr>
          <w:rFonts w:ascii="Arial" w:hAnsi="Arial" w:cs="Arial"/>
        </w:rPr>
        <w:t xml:space="preserve">Breytt með 18. gr. reglna nr. 1167/2008. </w:t>
      </w:r>
    </w:p>
  </w:footnote>
  <w:footnote w:id="34">
    <w:p w:rsidR="00447F64" w:rsidRPr="00447F64" w:rsidRDefault="00447F64">
      <w:pPr>
        <w:pStyle w:val="FootnoteText"/>
        <w:rPr>
          <w:rFonts w:ascii="Arial" w:hAnsi="Arial" w:cs="Arial"/>
        </w:rPr>
      </w:pPr>
      <w:r w:rsidRPr="00447F64">
        <w:rPr>
          <w:rStyle w:val="FootnoteReference"/>
          <w:rFonts w:ascii="Arial" w:hAnsi="Arial" w:cs="Arial"/>
        </w:rPr>
        <w:footnoteRef/>
      </w:r>
      <w:r w:rsidRPr="00447F64">
        <w:rPr>
          <w:rFonts w:ascii="Arial" w:hAnsi="Arial" w:cs="Arial"/>
        </w:rPr>
        <w:t xml:space="preserve"> </w:t>
      </w:r>
      <w:r w:rsidRPr="00447F64">
        <w:rPr>
          <w:rFonts w:ascii="Arial" w:hAnsi="Arial" w:cs="Arial"/>
        </w:rPr>
        <w:t>Breytt me</w:t>
      </w:r>
      <w:r w:rsidRPr="00447F64">
        <w:rPr>
          <w:rFonts w:ascii="Arial" w:hAnsi="Arial" w:cs="Arial"/>
        </w:rPr>
        <w:t>ð 19. gr. reglna nr. 1167/2008.</w:t>
      </w:r>
    </w:p>
  </w:footnote>
  <w:footnote w:id="35">
    <w:p w:rsidR="00447F64" w:rsidRPr="00447F64" w:rsidRDefault="00447F64">
      <w:pPr>
        <w:pStyle w:val="FootnoteText"/>
        <w:rPr>
          <w:rFonts w:ascii="Arial" w:hAnsi="Arial" w:cs="Arial"/>
        </w:rPr>
      </w:pPr>
      <w:r w:rsidRPr="00447F64">
        <w:rPr>
          <w:rStyle w:val="FootnoteReference"/>
          <w:rFonts w:ascii="Arial" w:hAnsi="Arial" w:cs="Arial"/>
        </w:rPr>
        <w:footnoteRef/>
      </w:r>
      <w:r w:rsidRPr="00447F64">
        <w:rPr>
          <w:rFonts w:ascii="Arial" w:hAnsi="Arial" w:cs="Arial"/>
        </w:rPr>
        <w:t xml:space="preserve"> </w:t>
      </w:r>
      <w:r w:rsidRPr="00447F64">
        <w:rPr>
          <w:rFonts w:ascii="Arial" w:hAnsi="Arial" w:cs="Arial"/>
        </w:rPr>
        <w:t>Breytt me</w:t>
      </w:r>
      <w:r>
        <w:rPr>
          <w:rFonts w:ascii="Arial" w:hAnsi="Arial" w:cs="Arial"/>
        </w:rPr>
        <w:t>ð 19. gr. reglna nr. 1167/2008.</w:t>
      </w:r>
    </w:p>
  </w:footnote>
  <w:footnote w:id="36">
    <w:p w:rsidR="00447F64" w:rsidRDefault="00447F64">
      <w:pPr>
        <w:pStyle w:val="FootnoteText"/>
      </w:pPr>
      <w:r w:rsidRPr="00447F64">
        <w:rPr>
          <w:rStyle w:val="FootnoteReference"/>
          <w:rFonts w:ascii="Arial" w:hAnsi="Arial" w:cs="Arial"/>
        </w:rPr>
        <w:footnoteRef/>
      </w:r>
      <w:r w:rsidRPr="00447F64">
        <w:rPr>
          <w:rFonts w:ascii="Arial" w:hAnsi="Arial" w:cs="Arial"/>
        </w:rPr>
        <w:t xml:space="preserve"> </w:t>
      </w:r>
      <w:r w:rsidRPr="00447F64">
        <w:rPr>
          <w:rFonts w:ascii="Arial" w:hAnsi="Arial" w:cs="Arial"/>
        </w:rPr>
        <w:t>Breytt með 1. gr. reglna nr. 232/2012.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7BB"/>
    <w:multiLevelType w:val="multilevel"/>
    <w:tmpl w:val="855A3A5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35F0FA2"/>
    <w:multiLevelType w:val="multilevel"/>
    <w:tmpl w:val="E10410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369153A"/>
    <w:multiLevelType w:val="multilevel"/>
    <w:tmpl w:val="0750C4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5E71BBC"/>
    <w:multiLevelType w:val="multilevel"/>
    <w:tmpl w:val="40FA0F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6F92F2F"/>
    <w:multiLevelType w:val="multilevel"/>
    <w:tmpl w:val="D8EC6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5B781F"/>
    <w:multiLevelType w:val="multilevel"/>
    <w:tmpl w:val="417800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F6432D5"/>
    <w:multiLevelType w:val="multilevel"/>
    <w:tmpl w:val="9DE036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1687EF2"/>
    <w:multiLevelType w:val="multilevel"/>
    <w:tmpl w:val="A184C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250A7D"/>
    <w:multiLevelType w:val="multilevel"/>
    <w:tmpl w:val="0DCCB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1B6331"/>
    <w:multiLevelType w:val="multilevel"/>
    <w:tmpl w:val="4240EA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A0E34BD"/>
    <w:multiLevelType w:val="multilevel"/>
    <w:tmpl w:val="01706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FD21EA"/>
    <w:multiLevelType w:val="multilevel"/>
    <w:tmpl w:val="70306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8A5FDC"/>
    <w:multiLevelType w:val="multilevel"/>
    <w:tmpl w:val="ADEA7F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0561F96"/>
    <w:multiLevelType w:val="multilevel"/>
    <w:tmpl w:val="E7B6C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C325FE"/>
    <w:multiLevelType w:val="multilevel"/>
    <w:tmpl w:val="94F27E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E0052BB"/>
    <w:multiLevelType w:val="multilevel"/>
    <w:tmpl w:val="28861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E97C3C"/>
    <w:multiLevelType w:val="multilevel"/>
    <w:tmpl w:val="98D49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9BE493D"/>
    <w:multiLevelType w:val="multilevel"/>
    <w:tmpl w:val="EF8462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EEA1D8D"/>
    <w:multiLevelType w:val="multilevel"/>
    <w:tmpl w:val="B3042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2043328"/>
    <w:multiLevelType w:val="multilevel"/>
    <w:tmpl w:val="AA5622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58917AFB"/>
    <w:multiLevelType w:val="multilevel"/>
    <w:tmpl w:val="994EEC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A5B29E5"/>
    <w:multiLevelType w:val="multilevel"/>
    <w:tmpl w:val="E508F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CEF7917"/>
    <w:multiLevelType w:val="multilevel"/>
    <w:tmpl w:val="658655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62E6576E"/>
    <w:multiLevelType w:val="multilevel"/>
    <w:tmpl w:val="B4FE23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651A5FE3"/>
    <w:multiLevelType w:val="multilevel"/>
    <w:tmpl w:val="B61E0E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710A4B32"/>
    <w:multiLevelType w:val="multilevel"/>
    <w:tmpl w:val="EB081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737B0D41"/>
    <w:multiLevelType w:val="multilevel"/>
    <w:tmpl w:val="44585F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73B12E86"/>
    <w:multiLevelType w:val="multilevel"/>
    <w:tmpl w:val="FE0C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4F81C31"/>
    <w:multiLevelType w:val="multilevel"/>
    <w:tmpl w:val="718EE2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78DE23AB"/>
    <w:multiLevelType w:val="multilevel"/>
    <w:tmpl w:val="0D70F2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7C0E7C43"/>
    <w:multiLevelType w:val="multilevel"/>
    <w:tmpl w:val="F61C58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1"/>
  </w:num>
  <w:num w:numId="2">
    <w:abstractNumId w:val="0"/>
  </w:num>
  <w:num w:numId="3">
    <w:abstractNumId w:val="27"/>
  </w:num>
  <w:num w:numId="4">
    <w:abstractNumId w:val="16"/>
  </w:num>
  <w:num w:numId="5">
    <w:abstractNumId w:val="11"/>
  </w:num>
  <w:num w:numId="6">
    <w:abstractNumId w:val="14"/>
  </w:num>
  <w:num w:numId="7">
    <w:abstractNumId w:val="1"/>
  </w:num>
  <w:num w:numId="8">
    <w:abstractNumId w:val="2"/>
  </w:num>
  <w:num w:numId="9">
    <w:abstractNumId w:val="22"/>
  </w:num>
  <w:num w:numId="10">
    <w:abstractNumId w:val="9"/>
  </w:num>
  <w:num w:numId="11">
    <w:abstractNumId w:val="29"/>
  </w:num>
  <w:num w:numId="12">
    <w:abstractNumId w:val="28"/>
  </w:num>
  <w:num w:numId="13">
    <w:abstractNumId w:val="20"/>
  </w:num>
  <w:num w:numId="14">
    <w:abstractNumId w:val="12"/>
  </w:num>
  <w:num w:numId="15">
    <w:abstractNumId w:val="15"/>
  </w:num>
  <w:num w:numId="16">
    <w:abstractNumId w:val="7"/>
  </w:num>
  <w:num w:numId="17">
    <w:abstractNumId w:val="10"/>
  </w:num>
  <w:num w:numId="18">
    <w:abstractNumId w:val="13"/>
  </w:num>
  <w:num w:numId="19">
    <w:abstractNumId w:val="8"/>
  </w:num>
  <w:num w:numId="20">
    <w:abstractNumId w:val="23"/>
  </w:num>
  <w:num w:numId="21">
    <w:abstractNumId w:val="17"/>
  </w:num>
  <w:num w:numId="22">
    <w:abstractNumId w:val="19"/>
  </w:num>
  <w:num w:numId="23">
    <w:abstractNumId w:val="24"/>
  </w:num>
  <w:num w:numId="24">
    <w:abstractNumId w:val="25"/>
  </w:num>
  <w:num w:numId="25">
    <w:abstractNumId w:val="26"/>
  </w:num>
  <w:num w:numId="26">
    <w:abstractNumId w:val="30"/>
  </w:num>
  <w:num w:numId="27">
    <w:abstractNumId w:val="5"/>
  </w:num>
  <w:num w:numId="28">
    <w:abstractNumId w:val="18"/>
  </w:num>
  <w:num w:numId="29">
    <w:abstractNumId w:val="3"/>
  </w:num>
  <w:num w:numId="30">
    <w:abstractNumId w:val="4"/>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7D6"/>
    <w:rsid w:val="000B16AB"/>
    <w:rsid w:val="00447F64"/>
    <w:rsid w:val="00786B63"/>
    <w:rsid w:val="008317D6"/>
    <w:rsid w:val="00981238"/>
    <w:rsid w:val="00B56CAD"/>
    <w:rsid w:val="00B576B9"/>
    <w:rsid w:val="00C23FF4"/>
    <w:rsid w:val="00CF75DF"/>
    <w:rsid w:val="00E40E18"/>
    <w:rsid w:val="00E738BF"/>
    <w:rsid w:val="00F6748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8317D6"/>
    <w:pPr>
      <w:pBdr>
        <w:bottom w:val="single" w:sz="6" w:space="1" w:color="auto"/>
      </w:pBdr>
      <w:spacing w:after="0" w:line="240" w:lineRule="auto"/>
      <w:jc w:val="center"/>
    </w:pPr>
    <w:rPr>
      <w:rFonts w:ascii="Arial" w:eastAsia="Times New Roman" w:hAnsi="Arial" w:cs="Arial"/>
      <w:vanish/>
      <w:sz w:val="16"/>
      <w:szCs w:val="16"/>
      <w:lang w:eastAsia="is-IS"/>
    </w:rPr>
  </w:style>
  <w:style w:type="character" w:customStyle="1" w:styleId="z-TopofFormChar">
    <w:name w:val="z-Top of Form Char"/>
    <w:basedOn w:val="DefaultParagraphFont"/>
    <w:link w:val="z-TopofForm"/>
    <w:uiPriority w:val="99"/>
    <w:semiHidden/>
    <w:rsid w:val="008317D6"/>
    <w:rPr>
      <w:rFonts w:ascii="Arial" w:eastAsia="Times New Roman" w:hAnsi="Arial" w:cs="Arial"/>
      <w:vanish/>
      <w:sz w:val="16"/>
      <w:szCs w:val="16"/>
      <w:lang w:eastAsia="is-IS"/>
    </w:rPr>
  </w:style>
  <w:style w:type="paragraph" w:styleId="NormalWeb">
    <w:name w:val="Normal (Web)"/>
    <w:basedOn w:val="Normal"/>
    <w:uiPriority w:val="99"/>
    <w:unhideWhenUsed/>
    <w:rsid w:val="008317D6"/>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Hyperlink">
    <w:name w:val="Hyperlink"/>
    <w:basedOn w:val="DefaultParagraphFont"/>
    <w:uiPriority w:val="99"/>
    <w:unhideWhenUsed/>
    <w:rsid w:val="008317D6"/>
    <w:rPr>
      <w:color w:val="0000FF"/>
      <w:u w:val="single"/>
    </w:rPr>
  </w:style>
  <w:style w:type="character" w:styleId="FollowedHyperlink">
    <w:name w:val="FollowedHyperlink"/>
    <w:basedOn w:val="DefaultParagraphFont"/>
    <w:uiPriority w:val="99"/>
    <w:semiHidden/>
    <w:unhideWhenUsed/>
    <w:rsid w:val="008317D6"/>
    <w:rPr>
      <w:color w:val="800080"/>
      <w:u w:val="single"/>
    </w:rPr>
  </w:style>
  <w:style w:type="paragraph" w:styleId="z-BottomofForm">
    <w:name w:val="HTML Bottom of Form"/>
    <w:basedOn w:val="Normal"/>
    <w:next w:val="Normal"/>
    <w:link w:val="z-BottomofFormChar"/>
    <w:hidden/>
    <w:uiPriority w:val="99"/>
    <w:semiHidden/>
    <w:unhideWhenUsed/>
    <w:rsid w:val="008317D6"/>
    <w:pPr>
      <w:pBdr>
        <w:top w:val="single" w:sz="6" w:space="1" w:color="auto"/>
      </w:pBdr>
      <w:spacing w:after="0" w:line="240" w:lineRule="auto"/>
      <w:jc w:val="center"/>
    </w:pPr>
    <w:rPr>
      <w:rFonts w:ascii="Arial" w:eastAsia="Times New Roman" w:hAnsi="Arial" w:cs="Arial"/>
      <w:vanish/>
      <w:sz w:val="16"/>
      <w:szCs w:val="16"/>
      <w:lang w:eastAsia="is-IS"/>
    </w:rPr>
  </w:style>
  <w:style w:type="character" w:customStyle="1" w:styleId="z-BottomofFormChar">
    <w:name w:val="z-Bottom of Form Char"/>
    <w:basedOn w:val="DefaultParagraphFont"/>
    <w:link w:val="z-BottomofForm"/>
    <w:uiPriority w:val="99"/>
    <w:semiHidden/>
    <w:rsid w:val="008317D6"/>
    <w:rPr>
      <w:rFonts w:ascii="Arial" w:eastAsia="Times New Roman" w:hAnsi="Arial" w:cs="Arial"/>
      <w:vanish/>
      <w:sz w:val="16"/>
      <w:szCs w:val="16"/>
      <w:lang w:eastAsia="is-IS"/>
    </w:rPr>
  </w:style>
  <w:style w:type="character" w:styleId="CommentReference">
    <w:name w:val="annotation reference"/>
    <w:basedOn w:val="DefaultParagraphFont"/>
    <w:uiPriority w:val="99"/>
    <w:semiHidden/>
    <w:unhideWhenUsed/>
    <w:rsid w:val="008317D6"/>
    <w:rPr>
      <w:sz w:val="16"/>
      <w:szCs w:val="16"/>
    </w:rPr>
  </w:style>
  <w:style w:type="paragraph" w:styleId="CommentText">
    <w:name w:val="annotation text"/>
    <w:basedOn w:val="Normal"/>
    <w:link w:val="CommentTextChar"/>
    <w:uiPriority w:val="99"/>
    <w:semiHidden/>
    <w:unhideWhenUsed/>
    <w:rsid w:val="008317D6"/>
    <w:pPr>
      <w:spacing w:line="240" w:lineRule="auto"/>
    </w:pPr>
    <w:rPr>
      <w:sz w:val="20"/>
      <w:szCs w:val="20"/>
    </w:rPr>
  </w:style>
  <w:style w:type="character" w:customStyle="1" w:styleId="CommentTextChar">
    <w:name w:val="Comment Text Char"/>
    <w:basedOn w:val="DefaultParagraphFont"/>
    <w:link w:val="CommentText"/>
    <w:uiPriority w:val="99"/>
    <w:semiHidden/>
    <w:rsid w:val="008317D6"/>
    <w:rPr>
      <w:sz w:val="20"/>
      <w:szCs w:val="20"/>
    </w:rPr>
  </w:style>
  <w:style w:type="paragraph" w:styleId="CommentSubject">
    <w:name w:val="annotation subject"/>
    <w:basedOn w:val="CommentText"/>
    <w:next w:val="CommentText"/>
    <w:link w:val="CommentSubjectChar"/>
    <w:uiPriority w:val="99"/>
    <w:semiHidden/>
    <w:unhideWhenUsed/>
    <w:rsid w:val="008317D6"/>
    <w:rPr>
      <w:b/>
      <w:bCs/>
    </w:rPr>
  </w:style>
  <w:style w:type="character" w:customStyle="1" w:styleId="CommentSubjectChar">
    <w:name w:val="Comment Subject Char"/>
    <w:basedOn w:val="CommentTextChar"/>
    <w:link w:val="CommentSubject"/>
    <w:uiPriority w:val="99"/>
    <w:semiHidden/>
    <w:rsid w:val="008317D6"/>
    <w:rPr>
      <w:b/>
      <w:bCs/>
      <w:sz w:val="20"/>
      <w:szCs w:val="20"/>
    </w:rPr>
  </w:style>
  <w:style w:type="paragraph" w:styleId="BalloonText">
    <w:name w:val="Balloon Text"/>
    <w:basedOn w:val="Normal"/>
    <w:link w:val="BalloonTextChar"/>
    <w:uiPriority w:val="99"/>
    <w:semiHidden/>
    <w:unhideWhenUsed/>
    <w:rsid w:val="00831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7D6"/>
    <w:rPr>
      <w:rFonts w:ascii="Tahoma" w:hAnsi="Tahoma" w:cs="Tahoma"/>
      <w:sz w:val="16"/>
      <w:szCs w:val="16"/>
    </w:rPr>
  </w:style>
  <w:style w:type="paragraph" w:styleId="FootnoteText">
    <w:name w:val="footnote text"/>
    <w:basedOn w:val="Normal"/>
    <w:link w:val="FootnoteTextChar"/>
    <w:uiPriority w:val="99"/>
    <w:semiHidden/>
    <w:unhideWhenUsed/>
    <w:rsid w:val="00C23F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3FF4"/>
    <w:rPr>
      <w:sz w:val="20"/>
      <w:szCs w:val="20"/>
    </w:rPr>
  </w:style>
  <w:style w:type="character" w:styleId="FootnoteReference">
    <w:name w:val="footnote reference"/>
    <w:basedOn w:val="DefaultParagraphFont"/>
    <w:uiPriority w:val="99"/>
    <w:semiHidden/>
    <w:unhideWhenUsed/>
    <w:rsid w:val="00C23F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8317D6"/>
    <w:pPr>
      <w:pBdr>
        <w:bottom w:val="single" w:sz="6" w:space="1" w:color="auto"/>
      </w:pBdr>
      <w:spacing w:after="0" w:line="240" w:lineRule="auto"/>
      <w:jc w:val="center"/>
    </w:pPr>
    <w:rPr>
      <w:rFonts w:ascii="Arial" w:eastAsia="Times New Roman" w:hAnsi="Arial" w:cs="Arial"/>
      <w:vanish/>
      <w:sz w:val="16"/>
      <w:szCs w:val="16"/>
      <w:lang w:eastAsia="is-IS"/>
    </w:rPr>
  </w:style>
  <w:style w:type="character" w:customStyle="1" w:styleId="z-TopofFormChar">
    <w:name w:val="z-Top of Form Char"/>
    <w:basedOn w:val="DefaultParagraphFont"/>
    <w:link w:val="z-TopofForm"/>
    <w:uiPriority w:val="99"/>
    <w:semiHidden/>
    <w:rsid w:val="008317D6"/>
    <w:rPr>
      <w:rFonts w:ascii="Arial" w:eastAsia="Times New Roman" w:hAnsi="Arial" w:cs="Arial"/>
      <w:vanish/>
      <w:sz w:val="16"/>
      <w:szCs w:val="16"/>
      <w:lang w:eastAsia="is-IS"/>
    </w:rPr>
  </w:style>
  <w:style w:type="paragraph" w:styleId="NormalWeb">
    <w:name w:val="Normal (Web)"/>
    <w:basedOn w:val="Normal"/>
    <w:uiPriority w:val="99"/>
    <w:unhideWhenUsed/>
    <w:rsid w:val="008317D6"/>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Hyperlink">
    <w:name w:val="Hyperlink"/>
    <w:basedOn w:val="DefaultParagraphFont"/>
    <w:uiPriority w:val="99"/>
    <w:unhideWhenUsed/>
    <w:rsid w:val="008317D6"/>
    <w:rPr>
      <w:color w:val="0000FF"/>
      <w:u w:val="single"/>
    </w:rPr>
  </w:style>
  <w:style w:type="character" w:styleId="FollowedHyperlink">
    <w:name w:val="FollowedHyperlink"/>
    <w:basedOn w:val="DefaultParagraphFont"/>
    <w:uiPriority w:val="99"/>
    <w:semiHidden/>
    <w:unhideWhenUsed/>
    <w:rsid w:val="008317D6"/>
    <w:rPr>
      <w:color w:val="800080"/>
      <w:u w:val="single"/>
    </w:rPr>
  </w:style>
  <w:style w:type="paragraph" w:styleId="z-BottomofForm">
    <w:name w:val="HTML Bottom of Form"/>
    <w:basedOn w:val="Normal"/>
    <w:next w:val="Normal"/>
    <w:link w:val="z-BottomofFormChar"/>
    <w:hidden/>
    <w:uiPriority w:val="99"/>
    <w:semiHidden/>
    <w:unhideWhenUsed/>
    <w:rsid w:val="008317D6"/>
    <w:pPr>
      <w:pBdr>
        <w:top w:val="single" w:sz="6" w:space="1" w:color="auto"/>
      </w:pBdr>
      <w:spacing w:after="0" w:line="240" w:lineRule="auto"/>
      <w:jc w:val="center"/>
    </w:pPr>
    <w:rPr>
      <w:rFonts w:ascii="Arial" w:eastAsia="Times New Roman" w:hAnsi="Arial" w:cs="Arial"/>
      <w:vanish/>
      <w:sz w:val="16"/>
      <w:szCs w:val="16"/>
      <w:lang w:eastAsia="is-IS"/>
    </w:rPr>
  </w:style>
  <w:style w:type="character" w:customStyle="1" w:styleId="z-BottomofFormChar">
    <w:name w:val="z-Bottom of Form Char"/>
    <w:basedOn w:val="DefaultParagraphFont"/>
    <w:link w:val="z-BottomofForm"/>
    <w:uiPriority w:val="99"/>
    <w:semiHidden/>
    <w:rsid w:val="008317D6"/>
    <w:rPr>
      <w:rFonts w:ascii="Arial" w:eastAsia="Times New Roman" w:hAnsi="Arial" w:cs="Arial"/>
      <w:vanish/>
      <w:sz w:val="16"/>
      <w:szCs w:val="16"/>
      <w:lang w:eastAsia="is-IS"/>
    </w:rPr>
  </w:style>
  <w:style w:type="character" w:styleId="CommentReference">
    <w:name w:val="annotation reference"/>
    <w:basedOn w:val="DefaultParagraphFont"/>
    <w:uiPriority w:val="99"/>
    <w:semiHidden/>
    <w:unhideWhenUsed/>
    <w:rsid w:val="008317D6"/>
    <w:rPr>
      <w:sz w:val="16"/>
      <w:szCs w:val="16"/>
    </w:rPr>
  </w:style>
  <w:style w:type="paragraph" w:styleId="CommentText">
    <w:name w:val="annotation text"/>
    <w:basedOn w:val="Normal"/>
    <w:link w:val="CommentTextChar"/>
    <w:uiPriority w:val="99"/>
    <w:semiHidden/>
    <w:unhideWhenUsed/>
    <w:rsid w:val="008317D6"/>
    <w:pPr>
      <w:spacing w:line="240" w:lineRule="auto"/>
    </w:pPr>
    <w:rPr>
      <w:sz w:val="20"/>
      <w:szCs w:val="20"/>
    </w:rPr>
  </w:style>
  <w:style w:type="character" w:customStyle="1" w:styleId="CommentTextChar">
    <w:name w:val="Comment Text Char"/>
    <w:basedOn w:val="DefaultParagraphFont"/>
    <w:link w:val="CommentText"/>
    <w:uiPriority w:val="99"/>
    <w:semiHidden/>
    <w:rsid w:val="008317D6"/>
    <w:rPr>
      <w:sz w:val="20"/>
      <w:szCs w:val="20"/>
    </w:rPr>
  </w:style>
  <w:style w:type="paragraph" w:styleId="CommentSubject">
    <w:name w:val="annotation subject"/>
    <w:basedOn w:val="CommentText"/>
    <w:next w:val="CommentText"/>
    <w:link w:val="CommentSubjectChar"/>
    <w:uiPriority w:val="99"/>
    <w:semiHidden/>
    <w:unhideWhenUsed/>
    <w:rsid w:val="008317D6"/>
    <w:rPr>
      <w:b/>
      <w:bCs/>
    </w:rPr>
  </w:style>
  <w:style w:type="character" w:customStyle="1" w:styleId="CommentSubjectChar">
    <w:name w:val="Comment Subject Char"/>
    <w:basedOn w:val="CommentTextChar"/>
    <w:link w:val="CommentSubject"/>
    <w:uiPriority w:val="99"/>
    <w:semiHidden/>
    <w:rsid w:val="008317D6"/>
    <w:rPr>
      <w:b/>
      <w:bCs/>
      <w:sz w:val="20"/>
      <w:szCs w:val="20"/>
    </w:rPr>
  </w:style>
  <w:style w:type="paragraph" w:styleId="BalloonText">
    <w:name w:val="Balloon Text"/>
    <w:basedOn w:val="Normal"/>
    <w:link w:val="BalloonTextChar"/>
    <w:uiPriority w:val="99"/>
    <w:semiHidden/>
    <w:unhideWhenUsed/>
    <w:rsid w:val="00831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7D6"/>
    <w:rPr>
      <w:rFonts w:ascii="Tahoma" w:hAnsi="Tahoma" w:cs="Tahoma"/>
      <w:sz w:val="16"/>
      <w:szCs w:val="16"/>
    </w:rPr>
  </w:style>
  <w:style w:type="paragraph" w:styleId="FootnoteText">
    <w:name w:val="footnote text"/>
    <w:basedOn w:val="Normal"/>
    <w:link w:val="FootnoteTextChar"/>
    <w:uiPriority w:val="99"/>
    <w:semiHidden/>
    <w:unhideWhenUsed/>
    <w:rsid w:val="00C23F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3FF4"/>
    <w:rPr>
      <w:sz w:val="20"/>
      <w:szCs w:val="20"/>
    </w:rPr>
  </w:style>
  <w:style w:type="character" w:styleId="FootnoteReference">
    <w:name w:val="footnote reference"/>
    <w:basedOn w:val="DefaultParagraphFont"/>
    <w:uiPriority w:val="99"/>
    <w:semiHidden/>
    <w:unhideWhenUsed/>
    <w:rsid w:val="00C23F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0751">
      <w:bodyDiv w:val="1"/>
      <w:marLeft w:val="0"/>
      <w:marRight w:val="0"/>
      <w:marTop w:val="0"/>
      <w:marBottom w:val="0"/>
      <w:divBdr>
        <w:top w:val="none" w:sz="0" w:space="0" w:color="auto"/>
        <w:left w:val="none" w:sz="0" w:space="0" w:color="auto"/>
        <w:bottom w:val="none" w:sz="0" w:space="0" w:color="auto"/>
        <w:right w:val="none" w:sz="0" w:space="0" w:color="auto"/>
      </w:divBdr>
      <w:divsChild>
        <w:div w:id="2115900160">
          <w:marLeft w:val="0"/>
          <w:marRight w:val="0"/>
          <w:marTop w:val="0"/>
          <w:marBottom w:val="0"/>
          <w:divBdr>
            <w:top w:val="none" w:sz="0" w:space="0" w:color="auto"/>
            <w:left w:val="none" w:sz="0" w:space="0" w:color="auto"/>
            <w:bottom w:val="none" w:sz="0" w:space="0" w:color="auto"/>
            <w:right w:val="none" w:sz="0" w:space="0" w:color="auto"/>
          </w:divBdr>
          <w:divsChild>
            <w:div w:id="450710553">
              <w:marLeft w:val="0"/>
              <w:marRight w:val="0"/>
              <w:marTop w:val="0"/>
              <w:marBottom w:val="0"/>
              <w:divBdr>
                <w:top w:val="none" w:sz="0" w:space="0" w:color="auto"/>
                <w:left w:val="none" w:sz="0" w:space="0" w:color="auto"/>
                <w:bottom w:val="none" w:sz="0" w:space="0" w:color="auto"/>
                <w:right w:val="none" w:sz="0" w:space="0" w:color="auto"/>
              </w:divBdr>
              <w:divsChild>
                <w:div w:id="9412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79711">
      <w:bodyDiv w:val="1"/>
      <w:marLeft w:val="0"/>
      <w:marRight w:val="0"/>
      <w:marTop w:val="0"/>
      <w:marBottom w:val="0"/>
      <w:divBdr>
        <w:top w:val="none" w:sz="0" w:space="0" w:color="auto"/>
        <w:left w:val="none" w:sz="0" w:space="0" w:color="auto"/>
        <w:bottom w:val="none" w:sz="0" w:space="0" w:color="auto"/>
        <w:right w:val="none" w:sz="0" w:space="0" w:color="auto"/>
      </w:divBdr>
      <w:divsChild>
        <w:div w:id="383022369">
          <w:marLeft w:val="0"/>
          <w:marRight w:val="0"/>
          <w:marTop w:val="0"/>
          <w:marBottom w:val="0"/>
          <w:divBdr>
            <w:top w:val="none" w:sz="0" w:space="0" w:color="auto"/>
            <w:left w:val="none" w:sz="0" w:space="0" w:color="auto"/>
            <w:bottom w:val="none" w:sz="0" w:space="0" w:color="auto"/>
            <w:right w:val="none" w:sz="0" w:space="0" w:color="auto"/>
          </w:divBdr>
          <w:divsChild>
            <w:div w:id="1771118098">
              <w:marLeft w:val="0"/>
              <w:marRight w:val="0"/>
              <w:marTop w:val="0"/>
              <w:marBottom w:val="0"/>
              <w:divBdr>
                <w:top w:val="none" w:sz="0" w:space="0" w:color="auto"/>
                <w:left w:val="none" w:sz="0" w:space="0" w:color="auto"/>
                <w:bottom w:val="none" w:sz="0" w:space="0" w:color="auto"/>
                <w:right w:val="none" w:sz="0" w:space="0" w:color="auto"/>
              </w:divBdr>
              <w:divsChild>
                <w:div w:id="52208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171751">
      <w:bodyDiv w:val="1"/>
      <w:marLeft w:val="0"/>
      <w:marRight w:val="0"/>
      <w:marTop w:val="0"/>
      <w:marBottom w:val="0"/>
      <w:divBdr>
        <w:top w:val="none" w:sz="0" w:space="0" w:color="auto"/>
        <w:left w:val="none" w:sz="0" w:space="0" w:color="auto"/>
        <w:bottom w:val="none" w:sz="0" w:space="0" w:color="auto"/>
        <w:right w:val="none" w:sz="0" w:space="0" w:color="auto"/>
      </w:divBdr>
      <w:divsChild>
        <w:div w:id="895623268">
          <w:marLeft w:val="0"/>
          <w:marRight w:val="0"/>
          <w:marTop w:val="0"/>
          <w:marBottom w:val="0"/>
          <w:divBdr>
            <w:top w:val="none" w:sz="0" w:space="0" w:color="auto"/>
            <w:left w:val="none" w:sz="0" w:space="0" w:color="auto"/>
            <w:bottom w:val="none" w:sz="0" w:space="0" w:color="auto"/>
            <w:right w:val="none" w:sz="0" w:space="0" w:color="auto"/>
          </w:divBdr>
          <w:divsChild>
            <w:div w:id="955449989">
              <w:marLeft w:val="0"/>
              <w:marRight w:val="0"/>
              <w:marTop w:val="0"/>
              <w:marBottom w:val="0"/>
              <w:divBdr>
                <w:top w:val="none" w:sz="0" w:space="0" w:color="auto"/>
                <w:left w:val="none" w:sz="0" w:space="0" w:color="auto"/>
                <w:bottom w:val="none" w:sz="0" w:space="0" w:color="auto"/>
                <w:right w:val="none" w:sz="0" w:space="0" w:color="auto"/>
              </w:divBdr>
              <w:divsChild>
                <w:div w:id="134416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967743">
      <w:bodyDiv w:val="1"/>
      <w:marLeft w:val="0"/>
      <w:marRight w:val="0"/>
      <w:marTop w:val="0"/>
      <w:marBottom w:val="0"/>
      <w:divBdr>
        <w:top w:val="none" w:sz="0" w:space="0" w:color="auto"/>
        <w:left w:val="none" w:sz="0" w:space="0" w:color="auto"/>
        <w:bottom w:val="none" w:sz="0" w:space="0" w:color="auto"/>
        <w:right w:val="none" w:sz="0" w:space="0" w:color="auto"/>
      </w:divBdr>
      <w:divsChild>
        <w:div w:id="625426398">
          <w:marLeft w:val="0"/>
          <w:marRight w:val="0"/>
          <w:marTop w:val="0"/>
          <w:marBottom w:val="0"/>
          <w:divBdr>
            <w:top w:val="none" w:sz="0" w:space="0" w:color="auto"/>
            <w:left w:val="none" w:sz="0" w:space="0" w:color="auto"/>
            <w:bottom w:val="none" w:sz="0" w:space="0" w:color="auto"/>
            <w:right w:val="none" w:sz="0" w:space="0" w:color="auto"/>
          </w:divBdr>
          <w:divsChild>
            <w:div w:id="372310754">
              <w:marLeft w:val="0"/>
              <w:marRight w:val="0"/>
              <w:marTop w:val="0"/>
              <w:marBottom w:val="0"/>
              <w:divBdr>
                <w:top w:val="none" w:sz="0" w:space="0" w:color="auto"/>
                <w:left w:val="none" w:sz="0" w:space="0" w:color="auto"/>
                <w:bottom w:val="none" w:sz="0" w:space="0" w:color="auto"/>
                <w:right w:val="none" w:sz="0" w:space="0" w:color="auto"/>
              </w:divBdr>
              <w:divsChild>
                <w:div w:id="67260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617182">
      <w:bodyDiv w:val="1"/>
      <w:marLeft w:val="0"/>
      <w:marRight w:val="0"/>
      <w:marTop w:val="0"/>
      <w:marBottom w:val="0"/>
      <w:divBdr>
        <w:top w:val="none" w:sz="0" w:space="0" w:color="auto"/>
        <w:left w:val="none" w:sz="0" w:space="0" w:color="auto"/>
        <w:bottom w:val="none" w:sz="0" w:space="0" w:color="auto"/>
        <w:right w:val="none" w:sz="0" w:space="0" w:color="auto"/>
      </w:divBdr>
      <w:divsChild>
        <w:div w:id="671643706">
          <w:marLeft w:val="0"/>
          <w:marRight w:val="0"/>
          <w:marTop w:val="0"/>
          <w:marBottom w:val="0"/>
          <w:divBdr>
            <w:top w:val="none" w:sz="0" w:space="0" w:color="auto"/>
            <w:left w:val="none" w:sz="0" w:space="0" w:color="auto"/>
            <w:bottom w:val="none" w:sz="0" w:space="0" w:color="auto"/>
            <w:right w:val="none" w:sz="0" w:space="0" w:color="auto"/>
          </w:divBdr>
          <w:divsChild>
            <w:div w:id="1542089146">
              <w:marLeft w:val="0"/>
              <w:marRight w:val="0"/>
              <w:marTop w:val="0"/>
              <w:marBottom w:val="0"/>
              <w:divBdr>
                <w:top w:val="none" w:sz="0" w:space="0" w:color="auto"/>
                <w:left w:val="none" w:sz="0" w:space="0" w:color="auto"/>
                <w:bottom w:val="none" w:sz="0" w:space="0" w:color="auto"/>
                <w:right w:val="none" w:sz="0" w:space="0" w:color="auto"/>
              </w:divBdr>
              <w:divsChild>
                <w:div w:id="19001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28598">
      <w:bodyDiv w:val="1"/>
      <w:marLeft w:val="0"/>
      <w:marRight w:val="0"/>
      <w:marTop w:val="0"/>
      <w:marBottom w:val="0"/>
      <w:divBdr>
        <w:top w:val="none" w:sz="0" w:space="0" w:color="auto"/>
        <w:left w:val="none" w:sz="0" w:space="0" w:color="auto"/>
        <w:bottom w:val="none" w:sz="0" w:space="0" w:color="auto"/>
        <w:right w:val="none" w:sz="0" w:space="0" w:color="auto"/>
      </w:divBdr>
      <w:divsChild>
        <w:div w:id="302471481">
          <w:marLeft w:val="0"/>
          <w:marRight w:val="0"/>
          <w:marTop w:val="0"/>
          <w:marBottom w:val="0"/>
          <w:divBdr>
            <w:top w:val="none" w:sz="0" w:space="0" w:color="auto"/>
            <w:left w:val="none" w:sz="0" w:space="0" w:color="auto"/>
            <w:bottom w:val="none" w:sz="0" w:space="0" w:color="auto"/>
            <w:right w:val="none" w:sz="0" w:space="0" w:color="auto"/>
          </w:divBdr>
          <w:divsChild>
            <w:div w:id="1404839465">
              <w:marLeft w:val="0"/>
              <w:marRight w:val="0"/>
              <w:marTop w:val="0"/>
              <w:marBottom w:val="0"/>
              <w:divBdr>
                <w:top w:val="none" w:sz="0" w:space="0" w:color="auto"/>
                <w:left w:val="none" w:sz="0" w:space="0" w:color="auto"/>
                <w:bottom w:val="none" w:sz="0" w:space="0" w:color="auto"/>
                <w:right w:val="none" w:sz="0" w:space="0" w:color="auto"/>
              </w:divBdr>
              <w:divsChild>
                <w:div w:id="11302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57902">
      <w:bodyDiv w:val="1"/>
      <w:marLeft w:val="0"/>
      <w:marRight w:val="0"/>
      <w:marTop w:val="0"/>
      <w:marBottom w:val="0"/>
      <w:divBdr>
        <w:top w:val="none" w:sz="0" w:space="0" w:color="auto"/>
        <w:left w:val="none" w:sz="0" w:space="0" w:color="auto"/>
        <w:bottom w:val="none" w:sz="0" w:space="0" w:color="auto"/>
        <w:right w:val="none" w:sz="0" w:space="0" w:color="auto"/>
      </w:divBdr>
      <w:divsChild>
        <w:div w:id="1974098290">
          <w:marLeft w:val="0"/>
          <w:marRight w:val="0"/>
          <w:marTop w:val="0"/>
          <w:marBottom w:val="0"/>
          <w:divBdr>
            <w:top w:val="none" w:sz="0" w:space="0" w:color="auto"/>
            <w:left w:val="none" w:sz="0" w:space="0" w:color="auto"/>
            <w:bottom w:val="none" w:sz="0" w:space="0" w:color="auto"/>
            <w:right w:val="none" w:sz="0" w:space="0" w:color="auto"/>
          </w:divBdr>
          <w:divsChild>
            <w:div w:id="1013336976">
              <w:marLeft w:val="0"/>
              <w:marRight w:val="0"/>
              <w:marTop w:val="0"/>
              <w:marBottom w:val="0"/>
              <w:divBdr>
                <w:top w:val="none" w:sz="0" w:space="0" w:color="auto"/>
                <w:left w:val="none" w:sz="0" w:space="0" w:color="auto"/>
                <w:bottom w:val="none" w:sz="0" w:space="0" w:color="auto"/>
                <w:right w:val="none" w:sz="0" w:space="0" w:color="auto"/>
              </w:divBdr>
              <w:divsChild>
                <w:div w:id="1257445291">
                  <w:marLeft w:val="0"/>
                  <w:marRight w:val="0"/>
                  <w:marTop w:val="0"/>
                  <w:marBottom w:val="0"/>
                  <w:divBdr>
                    <w:top w:val="none" w:sz="0" w:space="0" w:color="auto"/>
                    <w:left w:val="none" w:sz="0" w:space="0" w:color="auto"/>
                    <w:bottom w:val="none" w:sz="0" w:space="0" w:color="auto"/>
                    <w:right w:val="none" w:sz="0" w:space="0" w:color="auto"/>
                  </w:divBdr>
                </w:div>
                <w:div w:id="1895848966">
                  <w:marLeft w:val="0"/>
                  <w:marRight w:val="0"/>
                  <w:marTop w:val="0"/>
                  <w:marBottom w:val="0"/>
                  <w:divBdr>
                    <w:top w:val="none" w:sz="0" w:space="0" w:color="auto"/>
                    <w:left w:val="none" w:sz="0" w:space="0" w:color="auto"/>
                    <w:bottom w:val="none" w:sz="0" w:space="0" w:color="auto"/>
                    <w:right w:val="none" w:sz="0" w:space="0" w:color="auto"/>
                  </w:divBdr>
                </w:div>
                <w:div w:id="1577976003">
                  <w:marLeft w:val="0"/>
                  <w:marRight w:val="0"/>
                  <w:marTop w:val="0"/>
                  <w:marBottom w:val="0"/>
                  <w:divBdr>
                    <w:top w:val="none" w:sz="0" w:space="0" w:color="auto"/>
                    <w:left w:val="none" w:sz="0" w:space="0" w:color="auto"/>
                    <w:bottom w:val="none" w:sz="0" w:space="0" w:color="auto"/>
                    <w:right w:val="none" w:sz="0" w:space="0" w:color="auto"/>
                  </w:divBdr>
                </w:div>
                <w:div w:id="1899778405">
                  <w:marLeft w:val="0"/>
                  <w:marRight w:val="0"/>
                  <w:marTop w:val="0"/>
                  <w:marBottom w:val="0"/>
                  <w:divBdr>
                    <w:top w:val="none" w:sz="0" w:space="0" w:color="auto"/>
                    <w:left w:val="none" w:sz="0" w:space="0" w:color="auto"/>
                    <w:bottom w:val="none" w:sz="0" w:space="0" w:color="auto"/>
                    <w:right w:val="none" w:sz="0" w:space="0" w:color="auto"/>
                  </w:divBdr>
                </w:div>
                <w:div w:id="1712656530">
                  <w:marLeft w:val="0"/>
                  <w:marRight w:val="0"/>
                  <w:marTop w:val="0"/>
                  <w:marBottom w:val="0"/>
                  <w:divBdr>
                    <w:top w:val="none" w:sz="0" w:space="0" w:color="auto"/>
                    <w:left w:val="none" w:sz="0" w:space="0" w:color="auto"/>
                    <w:bottom w:val="none" w:sz="0" w:space="0" w:color="auto"/>
                    <w:right w:val="none" w:sz="0" w:space="0" w:color="auto"/>
                  </w:divBdr>
                </w:div>
                <w:div w:id="2109693638">
                  <w:marLeft w:val="0"/>
                  <w:marRight w:val="0"/>
                  <w:marTop w:val="0"/>
                  <w:marBottom w:val="0"/>
                  <w:divBdr>
                    <w:top w:val="none" w:sz="0" w:space="0" w:color="auto"/>
                    <w:left w:val="none" w:sz="0" w:space="0" w:color="auto"/>
                    <w:bottom w:val="none" w:sz="0" w:space="0" w:color="auto"/>
                    <w:right w:val="none" w:sz="0" w:space="0" w:color="auto"/>
                  </w:divBdr>
                </w:div>
                <w:div w:id="2024211349">
                  <w:marLeft w:val="0"/>
                  <w:marRight w:val="0"/>
                  <w:marTop w:val="0"/>
                  <w:marBottom w:val="0"/>
                  <w:divBdr>
                    <w:top w:val="none" w:sz="0" w:space="0" w:color="auto"/>
                    <w:left w:val="none" w:sz="0" w:space="0" w:color="auto"/>
                    <w:bottom w:val="none" w:sz="0" w:space="0" w:color="auto"/>
                    <w:right w:val="none" w:sz="0" w:space="0" w:color="auto"/>
                  </w:divBdr>
                </w:div>
                <w:div w:id="1062292758">
                  <w:marLeft w:val="0"/>
                  <w:marRight w:val="0"/>
                  <w:marTop w:val="0"/>
                  <w:marBottom w:val="0"/>
                  <w:divBdr>
                    <w:top w:val="none" w:sz="0" w:space="0" w:color="auto"/>
                    <w:left w:val="none" w:sz="0" w:space="0" w:color="auto"/>
                    <w:bottom w:val="none" w:sz="0" w:space="0" w:color="auto"/>
                    <w:right w:val="none" w:sz="0" w:space="0" w:color="auto"/>
                  </w:divBdr>
                </w:div>
                <w:div w:id="1945766253">
                  <w:marLeft w:val="0"/>
                  <w:marRight w:val="0"/>
                  <w:marTop w:val="0"/>
                  <w:marBottom w:val="0"/>
                  <w:divBdr>
                    <w:top w:val="none" w:sz="0" w:space="0" w:color="auto"/>
                    <w:left w:val="none" w:sz="0" w:space="0" w:color="auto"/>
                    <w:bottom w:val="none" w:sz="0" w:space="0" w:color="auto"/>
                    <w:right w:val="none" w:sz="0" w:space="0" w:color="auto"/>
                  </w:divBdr>
                </w:div>
                <w:div w:id="1847666497">
                  <w:marLeft w:val="0"/>
                  <w:marRight w:val="0"/>
                  <w:marTop w:val="0"/>
                  <w:marBottom w:val="0"/>
                  <w:divBdr>
                    <w:top w:val="none" w:sz="0" w:space="0" w:color="auto"/>
                    <w:left w:val="none" w:sz="0" w:space="0" w:color="auto"/>
                    <w:bottom w:val="none" w:sz="0" w:space="0" w:color="auto"/>
                    <w:right w:val="none" w:sz="0" w:space="0" w:color="auto"/>
                  </w:divBdr>
                </w:div>
                <w:div w:id="410584474">
                  <w:marLeft w:val="0"/>
                  <w:marRight w:val="0"/>
                  <w:marTop w:val="0"/>
                  <w:marBottom w:val="0"/>
                  <w:divBdr>
                    <w:top w:val="none" w:sz="0" w:space="0" w:color="auto"/>
                    <w:left w:val="none" w:sz="0" w:space="0" w:color="auto"/>
                    <w:bottom w:val="none" w:sz="0" w:space="0" w:color="auto"/>
                    <w:right w:val="none" w:sz="0" w:space="0" w:color="auto"/>
                  </w:divBdr>
                </w:div>
                <w:div w:id="1336154323">
                  <w:marLeft w:val="0"/>
                  <w:marRight w:val="0"/>
                  <w:marTop w:val="0"/>
                  <w:marBottom w:val="0"/>
                  <w:divBdr>
                    <w:top w:val="none" w:sz="0" w:space="0" w:color="auto"/>
                    <w:left w:val="none" w:sz="0" w:space="0" w:color="auto"/>
                    <w:bottom w:val="none" w:sz="0" w:space="0" w:color="auto"/>
                    <w:right w:val="none" w:sz="0" w:space="0" w:color="auto"/>
                  </w:divBdr>
                </w:div>
                <w:div w:id="1659117603">
                  <w:marLeft w:val="0"/>
                  <w:marRight w:val="0"/>
                  <w:marTop w:val="0"/>
                  <w:marBottom w:val="0"/>
                  <w:divBdr>
                    <w:top w:val="none" w:sz="0" w:space="0" w:color="auto"/>
                    <w:left w:val="none" w:sz="0" w:space="0" w:color="auto"/>
                    <w:bottom w:val="none" w:sz="0" w:space="0" w:color="auto"/>
                    <w:right w:val="none" w:sz="0" w:space="0" w:color="auto"/>
                  </w:divBdr>
                </w:div>
                <w:div w:id="2044746699">
                  <w:marLeft w:val="0"/>
                  <w:marRight w:val="0"/>
                  <w:marTop w:val="0"/>
                  <w:marBottom w:val="0"/>
                  <w:divBdr>
                    <w:top w:val="none" w:sz="0" w:space="0" w:color="auto"/>
                    <w:left w:val="none" w:sz="0" w:space="0" w:color="auto"/>
                    <w:bottom w:val="none" w:sz="0" w:space="0" w:color="auto"/>
                    <w:right w:val="none" w:sz="0" w:space="0" w:color="auto"/>
                  </w:divBdr>
                </w:div>
                <w:div w:id="1309045358">
                  <w:marLeft w:val="0"/>
                  <w:marRight w:val="0"/>
                  <w:marTop w:val="0"/>
                  <w:marBottom w:val="0"/>
                  <w:divBdr>
                    <w:top w:val="none" w:sz="0" w:space="0" w:color="auto"/>
                    <w:left w:val="none" w:sz="0" w:space="0" w:color="auto"/>
                    <w:bottom w:val="none" w:sz="0" w:space="0" w:color="auto"/>
                    <w:right w:val="none" w:sz="0" w:space="0" w:color="auto"/>
                  </w:divBdr>
                </w:div>
                <w:div w:id="33236869">
                  <w:marLeft w:val="0"/>
                  <w:marRight w:val="0"/>
                  <w:marTop w:val="0"/>
                  <w:marBottom w:val="0"/>
                  <w:divBdr>
                    <w:top w:val="none" w:sz="0" w:space="0" w:color="auto"/>
                    <w:left w:val="none" w:sz="0" w:space="0" w:color="auto"/>
                    <w:bottom w:val="none" w:sz="0" w:space="0" w:color="auto"/>
                    <w:right w:val="none" w:sz="0" w:space="0" w:color="auto"/>
                  </w:divBdr>
                </w:div>
                <w:div w:id="1047295078">
                  <w:marLeft w:val="0"/>
                  <w:marRight w:val="0"/>
                  <w:marTop w:val="0"/>
                  <w:marBottom w:val="0"/>
                  <w:divBdr>
                    <w:top w:val="none" w:sz="0" w:space="0" w:color="auto"/>
                    <w:left w:val="none" w:sz="0" w:space="0" w:color="auto"/>
                    <w:bottom w:val="none" w:sz="0" w:space="0" w:color="auto"/>
                    <w:right w:val="none" w:sz="0" w:space="0" w:color="auto"/>
                  </w:divBdr>
                </w:div>
                <w:div w:id="2129471497">
                  <w:marLeft w:val="0"/>
                  <w:marRight w:val="0"/>
                  <w:marTop w:val="0"/>
                  <w:marBottom w:val="0"/>
                  <w:divBdr>
                    <w:top w:val="none" w:sz="0" w:space="0" w:color="auto"/>
                    <w:left w:val="none" w:sz="0" w:space="0" w:color="auto"/>
                    <w:bottom w:val="none" w:sz="0" w:space="0" w:color="auto"/>
                    <w:right w:val="none" w:sz="0" w:space="0" w:color="auto"/>
                  </w:divBdr>
                </w:div>
                <w:div w:id="1517502484">
                  <w:marLeft w:val="0"/>
                  <w:marRight w:val="0"/>
                  <w:marTop w:val="0"/>
                  <w:marBottom w:val="0"/>
                  <w:divBdr>
                    <w:top w:val="none" w:sz="0" w:space="0" w:color="auto"/>
                    <w:left w:val="none" w:sz="0" w:space="0" w:color="auto"/>
                    <w:bottom w:val="none" w:sz="0" w:space="0" w:color="auto"/>
                    <w:right w:val="none" w:sz="0" w:space="0" w:color="auto"/>
                  </w:divBdr>
                </w:div>
                <w:div w:id="1287932808">
                  <w:marLeft w:val="0"/>
                  <w:marRight w:val="0"/>
                  <w:marTop w:val="0"/>
                  <w:marBottom w:val="0"/>
                  <w:divBdr>
                    <w:top w:val="none" w:sz="0" w:space="0" w:color="auto"/>
                    <w:left w:val="none" w:sz="0" w:space="0" w:color="auto"/>
                    <w:bottom w:val="none" w:sz="0" w:space="0" w:color="auto"/>
                    <w:right w:val="none" w:sz="0" w:space="0" w:color="auto"/>
                  </w:divBdr>
                </w:div>
                <w:div w:id="604653879">
                  <w:marLeft w:val="0"/>
                  <w:marRight w:val="0"/>
                  <w:marTop w:val="0"/>
                  <w:marBottom w:val="0"/>
                  <w:divBdr>
                    <w:top w:val="none" w:sz="0" w:space="0" w:color="auto"/>
                    <w:left w:val="none" w:sz="0" w:space="0" w:color="auto"/>
                    <w:bottom w:val="none" w:sz="0" w:space="0" w:color="auto"/>
                    <w:right w:val="none" w:sz="0" w:space="0" w:color="auto"/>
                  </w:divBdr>
                </w:div>
                <w:div w:id="1198854455">
                  <w:marLeft w:val="0"/>
                  <w:marRight w:val="0"/>
                  <w:marTop w:val="0"/>
                  <w:marBottom w:val="0"/>
                  <w:divBdr>
                    <w:top w:val="none" w:sz="0" w:space="0" w:color="auto"/>
                    <w:left w:val="none" w:sz="0" w:space="0" w:color="auto"/>
                    <w:bottom w:val="none" w:sz="0" w:space="0" w:color="auto"/>
                    <w:right w:val="none" w:sz="0" w:space="0" w:color="auto"/>
                  </w:divBdr>
                </w:div>
                <w:div w:id="905845908">
                  <w:marLeft w:val="0"/>
                  <w:marRight w:val="0"/>
                  <w:marTop w:val="0"/>
                  <w:marBottom w:val="0"/>
                  <w:divBdr>
                    <w:top w:val="none" w:sz="0" w:space="0" w:color="auto"/>
                    <w:left w:val="none" w:sz="0" w:space="0" w:color="auto"/>
                    <w:bottom w:val="none" w:sz="0" w:space="0" w:color="auto"/>
                    <w:right w:val="none" w:sz="0" w:space="0" w:color="auto"/>
                  </w:divBdr>
                </w:div>
                <w:div w:id="688875586">
                  <w:marLeft w:val="0"/>
                  <w:marRight w:val="0"/>
                  <w:marTop w:val="0"/>
                  <w:marBottom w:val="0"/>
                  <w:divBdr>
                    <w:top w:val="none" w:sz="0" w:space="0" w:color="auto"/>
                    <w:left w:val="none" w:sz="0" w:space="0" w:color="auto"/>
                    <w:bottom w:val="none" w:sz="0" w:space="0" w:color="auto"/>
                    <w:right w:val="none" w:sz="0" w:space="0" w:color="auto"/>
                  </w:divBdr>
                </w:div>
                <w:div w:id="255290545">
                  <w:marLeft w:val="0"/>
                  <w:marRight w:val="0"/>
                  <w:marTop w:val="0"/>
                  <w:marBottom w:val="0"/>
                  <w:divBdr>
                    <w:top w:val="none" w:sz="0" w:space="0" w:color="auto"/>
                    <w:left w:val="none" w:sz="0" w:space="0" w:color="auto"/>
                    <w:bottom w:val="none" w:sz="0" w:space="0" w:color="auto"/>
                    <w:right w:val="none" w:sz="0" w:space="0" w:color="auto"/>
                  </w:divBdr>
                </w:div>
                <w:div w:id="1507935349">
                  <w:marLeft w:val="0"/>
                  <w:marRight w:val="0"/>
                  <w:marTop w:val="0"/>
                  <w:marBottom w:val="0"/>
                  <w:divBdr>
                    <w:top w:val="none" w:sz="0" w:space="0" w:color="auto"/>
                    <w:left w:val="none" w:sz="0" w:space="0" w:color="auto"/>
                    <w:bottom w:val="none" w:sz="0" w:space="0" w:color="auto"/>
                    <w:right w:val="none" w:sz="0" w:space="0" w:color="auto"/>
                  </w:divBdr>
                </w:div>
                <w:div w:id="882059637">
                  <w:marLeft w:val="0"/>
                  <w:marRight w:val="0"/>
                  <w:marTop w:val="0"/>
                  <w:marBottom w:val="0"/>
                  <w:divBdr>
                    <w:top w:val="none" w:sz="0" w:space="0" w:color="auto"/>
                    <w:left w:val="none" w:sz="0" w:space="0" w:color="auto"/>
                    <w:bottom w:val="none" w:sz="0" w:space="0" w:color="auto"/>
                    <w:right w:val="none" w:sz="0" w:space="0" w:color="auto"/>
                  </w:divBdr>
                </w:div>
                <w:div w:id="533617427">
                  <w:marLeft w:val="0"/>
                  <w:marRight w:val="0"/>
                  <w:marTop w:val="0"/>
                  <w:marBottom w:val="0"/>
                  <w:divBdr>
                    <w:top w:val="none" w:sz="0" w:space="0" w:color="auto"/>
                    <w:left w:val="none" w:sz="0" w:space="0" w:color="auto"/>
                    <w:bottom w:val="none" w:sz="0" w:space="0" w:color="auto"/>
                    <w:right w:val="none" w:sz="0" w:space="0" w:color="auto"/>
                  </w:divBdr>
                </w:div>
                <w:div w:id="114381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ur-lex.europa.eu/LexUriServ/LexUriServ.do?uri=OJ:L:2009:094:0097:0099:E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site/en/oj/2006/l_177/l_17720060630en02010255.pdf" TargetMode="External"/><Relationship Id="rId5" Type="http://schemas.openxmlformats.org/officeDocument/2006/relationships/settings" Target="settings.xml"/><Relationship Id="rId10" Type="http://schemas.openxmlformats.org/officeDocument/2006/relationships/hyperlink" Target="http://eur-lex.europa.eu/LexUriServ/LexUriServ.do?uri=OJ:L:2009:196:0014:0021:EN:PDF" TargetMode="External"/><Relationship Id="rId4" Type="http://schemas.microsoft.com/office/2007/relationships/stylesWithEffects" Target="stylesWithEffects.xml"/><Relationship Id="rId9" Type="http://schemas.openxmlformats.org/officeDocument/2006/relationships/hyperlink" Target="http://eur-lex.europa.eu/LexUriServ/site/en/oj/2006/l_177/l_17720060630en0001020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DCE82-1839-4ABD-8BF6-2361775F3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13031</Words>
  <Characters>74278</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FME</Company>
  <LinksUpToDate>false</LinksUpToDate>
  <CharactersWithSpaces>87135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Hjálmar S. Brynjólfsson</dc:creator>
  <cp:lastModifiedBy>Hjálmar S. Brynjólfsson</cp:lastModifiedBy>
  <cp:revision>2</cp:revision>
  <dcterms:created xsi:type="dcterms:W3CDTF">2014-03-27T14:21:00Z</dcterms:created>
  <dcterms:modified xsi:type="dcterms:W3CDTF">2014-03-27T14:21:00Z</dcterms:modified>
</cp:coreProperties>
</file>