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272E26" w:rsidRDefault="0053158A" w:rsidP="00B724CE">
      <w:pPr>
        <w:pStyle w:val="FyrirsgnrauFMEbaratitill"/>
        <w:spacing w:after="120"/>
        <w:jc w:val="center"/>
        <w:rPr>
          <w:rFonts w:ascii="Times New Roman" w:hAnsi="Times New Roman" w:cs="Times New Roman"/>
          <w:color w:val="000000" w:themeColor="text1"/>
        </w:rPr>
      </w:pPr>
      <w:r w:rsidRPr="00272E26">
        <w:rPr>
          <w:rFonts w:ascii="Times New Roman" w:hAnsi="Times New Roman" w:cs="Times New Roman"/>
          <w:color w:val="000000" w:themeColor="text1"/>
        </w:rPr>
        <w:t>3</w:t>
      </w:r>
      <w:r w:rsidR="00B724CE" w:rsidRPr="00272E26">
        <w:rPr>
          <w:rFonts w:ascii="Times New Roman" w:hAnsi="Times New Roman" w:cs="Times New Roman"/>
          <w:color w:val="000000" w:themeColor="text1"/>
        </w:rPr>
        <w:t>. VIÐAUKI</w:t>
      </w:r>
    </w:p>
    <w:p w:rsidR="00001BA9" w:rsidRPr="00272E26" w:rsidRDefault="00001BA9" w:rsidP="00001BA9">
      <w:pPr>
        <w:pStyle w:val="Meginml"/>
        <w:jc w:val="center"/>
        <w:rPr>
          <w:rFonts w:ascii="Times New Roman" w:eastAsiaTheme="majorEastAsia" w:hAnsi="Times New Roman" w:cs="Times New Roman"/>
          <w:sz w:val="24"/>
          <w:szCs w:val="32"/>
        </w:rPr>
      </w:pPr>
      <w:r w:rsidRPr="00272E26">
        <w:rPr>
          <w:rFonts w:ascii="Times New Roman" w:eastAsiaTheme="majorEastAsia" w:hAnsi="Times New Roman" w:cs="Times New Roman"/>
          <w:sz w:val="24"/>
          <w:szCs w:val="32"/>
        </w:rPr>
        <w:t>ÚTGEFANDALÝSING FYRIR SÍÐARI ÚTGÁFUR HLUTABRÉFATENGDRA VERÐBRÉFA</w:t>
      </w:r>
    </w:p>
    <w:p w:rsidR="00B724CE" w:rsidRPr="00272E26" w:rsidRDefault="00B724CE" w:rsidP="00B724CE">
      <w:pPr>
        <w:pStyle w:val="KaflaheitiFME"/>
        <w:spacing w:before="120"/>
        <w:jc w:val="center"/>
        <w:rPr>
          <w:rFonts w:ascii="Times New Roman" w:hAnsi="Times New Roman" w:cs="Times New Roman"/>
          <w:sz w:val="20"/>
          <w:szCs w:val="20"/>
        </w:rPr>
      </w:pPr>
      <w:r w:rsidRPr="00272E26">
        <w:rPr>
          <w:rFonts w:ascii="Times New Roman" w:hAnsi="Times New Roman" w:cs="Times New Roman"/>
          <w:sz w:val="20"/>
          <w:szCs w:val="20"/>
        </w:rPr>
        <w:t>FRAMSELD REGL</w:t>
      </w:r>
      <w:r w:rsidR="00BC3877" w:rsidRPr="00272E26">
        <w:rPr>
          <w:rFonts w:ascii="Times New Roman" w:hAnsi="Times New Roman" w:cs="Times New Roman"/>
          <w:sz w:val="20"/>
          <w:szCs w:val="20"/>
        </w:rPr>
        <w:t>U</w:t>
      </w:r>
      <w:r w:rsidRPr="00272E26">
        <w:rPr>
          <w:rFonts w:ascii="Times New Roman" w:hAnsi="Times New Roman" w:cs="Times New Roman"/>
          <w:sz w:val="20"/>
          <w:szCs w:val="20"/>
        </w:rPr>
        <w:t>GERÐ FRAMKVÆMDASTJÓRNARINNAR</w:t>
      </w:r>
      <w:r w:rsidR="00DB21C8" w:rsidRPr="00272E26">
        <w:rPr>
          <w:rFonts w:ascii="Times New Roman" w:hAnsi="Times New Roman" w:cs="Times New Roman"/>
          <w:sz w:val="20"/>
          <w:szCs w:val="20"/>
        </w:rPr>
        <w:t xml:space="preserve"> (ESB)</w:t>
      </w:r>
      <w:r w:rsidRPr="00272E26">
        <w:rPr>
          <w:rFonts w:ascii="Times New Roman" w:hAnsi="Times New Roman" w:cs="Times New Roman"/>
          <w:sz w:val="20"/>
          <w:szCs w:val="20"/>
        </w:rPr>
        <w:t xml:space="preserve"> 2019/980</w:t>
      </w:r>
      <w:bookmarkStart w:id="0" w:name="_GoBack"/>
      <w:bookmarkEnd w:id="0"/>
    </w:p>
    <w:p w:rsidR="007F6312" w:rsidRPr="00272E26" w:rsidRDefault="0053158A" w:rsidP="0056743C">
      <w:pPr>
        <w:pStyle w:val="Meginml"/>
        <w:rPr>
          <w:rFonts w:ascii="Times New Roman" w:hAnsi="Times New Roman" w:cs="Times New Roman"/>
          <w:lang w:eastAsia="is-IS"/>
        </w:rPr>
      </w:pPr>
      <w:r w:rsidRPr="00272E26">
        <w:rPr>
          <w:rFonts w:ascii="Times New Roman" w:hAnsi="Times New Roman" w:cs="Times New Roman"/>
          <w:lang w:eastAsia="is-IS"/>
        </w:rPr>
        <w:t xml:space="preserve">Ef ósamræmi er á milli íslensks og ensks texta framseldrar reglugerðar framkvæmdastjórnarinnar </w:t>
      </w:r>
      <w:r w:rsidR="00DB21C8" w:rsidRPr="00272E26">
        <w:rPr>
          <w:rFonts w:ascii="Times New Roman" w:hAnsi="Times New Roman" w:cs="Times New Roman"/>
          <w:lang w:eastAsia="is-IS"/>
        </w:rPr>
        <w:t>(ESB) 2019/980</w:t>
      </w:r>
      <w:r w:rsidRPr="00272E26">
        <w:rPr>
          <w:rFonts w:ascii="Times New Roman" w:hAnsi="Times New Roman" w:cs="Times New Roman"/>
          <w:lang w:eastAsia="is-IS"/>
        </w:rPr>
        <w:t xml:space="preserve"> skal skýra íslenska textann með hliðsjón af enska textanum. Ef ósamræmi er á milli textans í þessu skjali og texta framseldrar reglugerðar framkvæmdastjórnarinnar</w:t>
      </w:r>
      <w:r w:rsidR="00DB21C8" w:rsidRPr="00272E26">
        <w:rPr>
          <w:rFonts w:ascii="Times New Roman" w:hAnsi="Times New Roman" w:cs="Times New Roman"/>
          <w:lang w:eastAsia="is-IS"/>
        </w:rPr>
        <w:t xml:space="preserve"> (ESB) 2019/980</w:t>
      </w:r>
      <w:r w:rsidRPr="00272E26">
        <w:rPr>
          <w:rFonts w:ascii="Times New Roman" w:hAnsi="Times New Roman" w:cs="Times New Roman"/>
          <w:lang w:eastAsia="is-IS"/>
        </w:rPr>
        <w:t xml:space="preserve"> er það texti reglugerðarinnar sem gildir. </w:t>
      </w:r>
    </w:p>
    <w:p w:rsidR="008E7443" w:rsidRPr="00272E26" w:rsidRDefault="008E7443" w:rsidP="0056743C">
      <w:pPr>
        <w:pStyle w:val="Meginml"/>
        <w:rPr>
          <w:rFonts w:ascii="Times New Roman" w:hAnsi="Times New Roman" w:cs="Times New Roman"/>
          <w:sz w:val="18"/>
          <w:szCs w:val="18"/>
          <w:lang w:eastAsia="is-IS"/>
        </w:rPr>
      </w:pPr>
    </w:p>
    <w:tbl>
      <w:tblPr>
        <w:tblStyle w:val="TableGrid"/>
        <w:tblW w:w="9351" w:type="dxa"/>
        <w:tblLook w:val="04A0" w:firstRow="1" w:lastRow="0" w:firstColumn="1" w:lastColumn="0" w:noHBand="0" w:noVBand="1"/>
      </w:tblPr>
      <w:tblGrid>
        <w:gridCol w:w="845"/>
        <w:gridCol w:w="1282"/>
        <w:gridCol w:w="7224"/>
      </w:tblGrid>
      <w:tr w:rsidR="0056743C" w:rsidRPr="00272E26" w:rsidTr="00272E26">
        <w:tc>
          <w:tcPr>
            <w:tcW w:w="845" w:type="dxa"/>
            <w:tcBorders>
              <w:left w:val="nil"/>
            </w:tcBorders>
          </w:tcPr>
          <w:p w:rsidR="0056743C" w:rsidRPr="00272E26" w:rsidRDefault="0056743C" w:rsidP="0056743C">
            <w:pPr>
              <w:pStyle w:val="Tflutexti"/>
              <w:spacing w:after="0"/>
              <w:rPr>
                <w:rFonts w:ascii="Times New Roman" w:hAnsi="Times New Roman" w:cs="Times New Roman"/>
                <w:sz w:val="18"/>
                <w:szCs w:val="18"/>
              </w:rPr>
            </w:pPr>
            <w:r w:rsidRPr="00272E26">
              <w:rPr>
                <w:rFonts w:ascii="Times New Roman" w:hAnsi="Times New Roman" w:cs="Times New Roman"/>
                <w:sz w:val="18"/>
                <w:szCs w:val="18"/>
              </w:rPr>
              <w:t>Kafli nr.</w:t>
            </w:r>
          </w:p>
          <w:p w:rsidR="0056743C" w:rsidRPr="00272E26" w:rsidRDefault="0056743C" w:rsidP="0056743C">
            <w:pPr>
              <w:pStyle w:val="Tflutexti"/>
              <w:spacing w:before="0"/>
              <w:rPr>
                <w:rFonts w:ascii="Times New Roman" w:hAnsi="Times New Roman" w:cs="Times New Roman"/>
                <w:sz w:val="18"/>
                <w:szCs w:val="18"/>
              </w:rPr>
            </w:pPr>
            <w:r w:rsidRPr="00272E26">
              <w:rPr>
                <w:rFonts w:ascii="Times New Roman" w:hAnsi="Times New Roman" w:cs="Times New Roman"/>
                <w:sz w:val="18"/>
                <w:szCs w:val="18"/>
              </w:rPr>
              <w:t>Bls. nr.</w:t>
            </w:r>
          </w:p>
        </w:tc>
        <w:tc>
          <w:tcPr>
            <w:tcW w:w="1282" w:type="dxa"/>
          </w:tcPr>
          <w:p w:rsidR="0056743C" w:rsidRPr="00272E26" w:rsidRDefault="0056743C" w:rsidP="0056743C">
            <w:pPr>
              <w:pStyle w:val="Tflutexti"/>
              <w:rPr>
                <w:rFonts w:ascii="Times New Roman" w:hAnsi="Times New Roman" w:cs="Times New Roman"/>
                <w:sz w:val="18"/>
                <w:szCs w:val="18"/>
              </w:rPr>
            </w:pPr>
            <w:r w:rsidRPr="00272E26">
              <w:rPr>
                <w:rFonts w:ascii="Times New Roman" w:hAnsi="Times New Roman" w:cs="Times New Roman"/>
                <w:sz w:val="18"/>
                <w:szCs w:val="18"/>
              </w:rPr>
              <w:t>1. ÞÁTTUR</w:t>
            </w:r>
          </w:p>
        </w:tc>
        <w:tc>
          <w:tcPr>
            <w:tcW w:w="7224" w:type="dxa"/>
            <w:tcBorders>
              <w:right w:val="nil"/>
            </w:tcBorders>
          </w:tcPr>
          <w:p w:rsidR="0056743C" w:rsidRPr="00272E26" w:rsidRDefault="0077478B" w:rsidP="0056743C">
            <w:pPr>
              <w:pStyle w:val="Tflutexti"/>
              <w:rPr>
                <w:rFonts w:ascii="Times New Roman" w:hAnsi="Times New Roman" w:cs="Times New Roman"/>
                <w:sz w:val="18"/>
                <w:szCs w:val="18"/>
              </w:rPr>
            </w:pPr>
            <w:r w:rsidRPr="00272E26">
              <w:rPr>
                <w:rFonts w:ascii="Times New Roman" w:hAnsi="Times New Roman" w:cs="Times New Roman"/>
                <w:sz w:val="18"/>
                <w:szCs w:val="18"/>
              </w:rPr>
              <w:t>AÐILAR SEM BERA ÁBYRGÐ, UPPLÝSINGAR FRÁ ÞRIÐJU AÐILUM, SKÝRSLUR SÉRFRÆÐINGA OG STAÐFESTING LÖGBÆRS YFIRVALDS</w:t>
            </w:r>
          </w:p>
        </w:tc>
      </w:tr>
      <w:tr w:rsidR="0056743C" w:rsidRPr="00272E26" w:rsidTr="00272E26">
        <w:tc>
          <w:tcPr>
            <w:tcW w:w="845" w:type="dxa"/>
            <w:tcBorders>
              <w:left w:val="nil"/>
            </w:tcBorders>
          </w:tcPr>
          <w:p w:rsidR="0056743C" w:rsidRPr="00272E26" w:rsidRDefault="0056743C" w:rsidP="0056743C">
            <w:pPr>
              <w:pStyle w:val="Meginml"/>
              <w:rPr>
                <w:rFonts w:ascii="Times New Roman" w:hAnsi="Times New Roman" w:cs="Times New Roman"/>
                <w:sz w:val="18"/>
                <w:szCs w:val="18"/>
              </w:rPr>
            </w:pPr>
          </w:p>
        </w:tc>
        <w:tc>
          <w:tcPr>
            <w:tcW w:w="1282" w:type="dxa"/>
          </w:tcPr>
          <w:p w:rsidR="0056743C" w:rsidRPr="00272E26" w:rsidRDefault="0056743C" w:rsidP="0056743C">
            <w:pPr>
              <w:pStyle w:val="Tflutexti"/>
              <w:rPr>
                <w:rFonts w:ascii="Times New Roman" w:hAnsi="Times New Roman" w:cs="Times New Roman"/>
                <w:sz w:val="18"/>
                <w:szCs w:val="18"/>
              </w:rPr>
            </w:pPr>
            <w:r w:rsidRPr="00272E26">
              <w:rPr>
                <w:rFonts w:ascii="Times New Roman" w:hAnsi="Times New Roman" w:cs="Times New Roman"/>
                <w:sz w:val="18"/>
                <w:szCs w:val="18"/>
              </w:rPr>
              <w:t>Liður 1.1.</w:t>
            </w:r>
          </w:p>
        </w:tc>
        <w:tc>
          <w:tcPr>
            <w:tcW w:w="7224" w:type="dxa"/>
            <w:tcBorders>
              <w:right w:val="nil"/>
            </w:tcBorders>
          </w:tcPr>
          <w:p w:rsidR="0056743C" w:rsidRPr="00272E26" w:rsidRDefault="0077478B" w:rsidP="0056743C">
            <w:pPr>
              <w:pStyle w:val="Tflutexti"/>
              <w:rPr>
                <w:rFonts w:ascii="Times New Roman" w:hAnsi="Times New Roman" w:cs="Times New Roman"/>
                <w:sz w:val="18"/>
                <w:szCs w:val="18"/>
              </w:rPr>
            </w:pPr>
            <w:r w:rsidRPr="00272E26">
              <w:rPr>
                <w:rFonts w:ascii="Times New Roman" w:hAnsi="Times New Roman" w:cs="Times New Roman"/>
                <w:sz w:val="18"/>
                <w:szCs w:val="18"/>
              </w:rPr>
              <w:t>Tilgreina skal alla þá sem bera ábyrgð á þeim upplýsingum, eða einhverjum hlutum þeirra, sem veittar eru í útgefandalýsingunni og skal, í síðara tilfellinu, tilgreina slíka hluta upplýsinganna. Sé um að ræða einstaklinga, þ.m.t. í stjórn, framkvæmdastjórn eða eftirlitsstjórn útgefanda, skulu þeir tilgreindir með nafni og stöðuheiti. Sé um að ræða lögaðila skal tilgreina nafn þeirra og skráða skrifstofu.</w:t>
            </w:r>
          </w:p>
        </w:tc>
      </w:tr>
      <w:tr w:rsidR="0056743C" w:rsidRPr="00272E26" w:rsidTr="00272E26">
        <w:tc>
          <w:tcPr>
            <w:tcW w:w="845" w:type="dxa"/>
            <w:tcBorders>
              <w:left w:val="nil"/>
            </w:tcBorders>
          </w:tcPr>
          <w:p w:rsidR="0056743C" w:rsidRPr="00272E26" w:rsidRDefault="0056743C" w:rsidP="0056743C">
            <w:pPr>
              <w:pStyle w:val="Meginml"/>
              <w:rPr>
                <w:rFonts w:ascii="Times New Roman" w:hAnsi="Times New Roman" w:cs="Times New Roman"/>
                <w:sz w:val="18"/>
                <w:szCs w:val="18"/>
              </w:rPr>
            </w:pPr>
          </w:p>
        </w:tc>
        <w:tc>
          <w:tcPr>
            <w:tcW w:w="1282" w:type="dxa"/>
          </w:tcPr>
          <w:p w:rsidR="0056743C" w:rsidRPr="00272E26" w:rsidRDefault="0056743C" w:rsidP="0056743C">
            <w:pPr>
              <w:pStyle w:val="Tflutexti"/>
              <w:rPr>
                <w:rFonts w:ascii="Times New Roman" w:hAnsi="Times New Roman" w:cs="Times New Roman"/>
                <w:sz w:val="18"/>
                <w:szCs w:val="18"/>
              </w:rPr>
            </w:pPr>
            <w:r w:rsidRPr="00272E26">
              <w:rPr>
                <w:rFonts w:ascii="Times New Roman" w:hAnsi="Times New Roman" w:cs="Times New Roman"/>
                <w:sz w:val="18"/>
                <w:szCs w:val="18"/>
              </w:rPr>
              <w:t>Liður 1.2.</w:t>
            </w:r>
          </w:p>
        </w:tc>
        <w:tc>
          <w:tcPr>
            <w:tcW w:w="7224" w:type="dxa"/>
            <w:tcBorders>
              <w:right w:val="nil"/>
            </w:tcBorders>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Yfirlýsing þeirra sem bera ábyrgð á útgefandalýsingu þess efnis að samkvæmt þeirra bestu vitund séu upplýsingarnar í útgefandalýsingunni í samræmi við staðreyndir og að engum upplýsingum sé sleppt úr henni sem gætu haft áhrif á áreiðanleika hennar.</w:t>
            </w:r>
          </w:p>
          <w:p w:rsidR="0056743C"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Eftir atvikum, yfirlýsing þeirra sem bera ábyrgð á tilteknum hlutum útgefandalýsingarinnar þess efnis að samkvæmt þeirra bestu vitund séu upplýsingarnar í þeim hlutum útgefandalýsingarinnar sem þeir bera ábyrgð á, í samræmi við staðreyndir og að engum upplýsingum sé sleppt úr þeim hlutum sem gætu haft áhrif á áreiðanleika hennar.</w:t>
            </w:r>
          </w:p>
        </w:tc>
      </w:tr>
      <w:tr w:rsidR="0077478B" w:rsidRPr="00272E26" w:rsidTr="00272E26">
        <w:tc>
          <w:tcPr>
            <w:tcW w:w="845" w:type="dxa"/>
            <w:tcBorders>
              <w:left w:val="nil"/>
            </w:tcBorders>
          </w:tcPr>
          <w:p w:rsidR="0077478B" w:rsidRPr="00272E26" w:rsidRDefault="0077478B" w:rsidP="0056743C">
            <w:pPr>
              <w:pStyle w:val="Meginml"/>
              <w:rPr>
                <w:rFonts w:ascii="Times New Roman" w:hAnsi="Times New Roman" w:cs="Times New Roman"/>
                <w:sz w:val="18"/>
                <w:szCs w:val="18"/>
              </w:rPr>
            </w:pPr>
          </w:p>
        </w:tc>
        <w:tc>
          <w:tcPr>
            <w:tcW w:w="1282" w:type="dxa"/>
          </w:tcPr>
          <w:p w:rsidR="0077478B" w:rsidRPr="00272E26" w:rsidRDefault="0077478B" w:rsidP="0056743C">
            <w:pPr>
              <w:pStyle w:val="Tflutexti"/>
              <w:rPr>
                <w:rFonts w:ascii="Times New Roman" w:hAnsi="Times New Roman" w:cs="Times New Roman"/>
                <w:sz w:val="18"/>
                <w:szCs w:val="18"/>
              </w:rPr>
            </w:pPr>
            <w:r w:rsidRPr="00272E26">
              <w:rPr>
                <w:rFonts w:ascii="Times New Roman" w:hAnsi="Times New Roman" w:cs="Times New Roman"/>
                <w:sz w:val="18"/>
                <w:szCs w:val="18"/>
              </w:rPr>
              <w:t>Liður 1.3.</w:t>
            </w:r>
          </w:p>
        </w:tc>
        <w:tc>
          <w:tcPr>
            <w:tcW w:w="7224" w:type="dxa"/>
            <w:tcBorders>
              <w:right w:val="nil"/>
            </w:tcBorders>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Hafi verðbréfalýsing að geyma yfirlýsingu eða greinargerð frá sérfræðingi skal veita eftirfarandi upplýsingar um þann aðila:</w:t>
            </w:r>
          </w:p>
          <w:p w:rsidR="0077478B" w:rsidRPr="00272E26" w:rsidRDefault="0077478B" w:rsidP="0077478B">
            <w:pPr>
              <w:pStyle w:val="Tflutexti"/>
              <w:spacing w:after="0"/>
              <w:ind w:left="323" w:hanging="323"/>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nafn,</w:t>
            </w:r>
          </w:p>
          <w:p w:rsidR="0077478B" w:rsidRPr="00272E26" w:rsidRDefault="0077478B" w:rsidP="0077478B">
            <w:pPr>
              <w:pStyle w:val="Tflutexti"/>
              <w:spacing w:before="0" w:after="0"/>
              <w:ind w:left="323" w:hanging="323"/>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heimilisfang starfsstöðvar,</w:t>
            </w:r>
          </w:p>
          <w:p w:rsidR="0077478B" w:rsidRPr="00272E26" w:rsidRDefault="0077478B" w:rsidP="0077478B">
            <w:pPr>
              <w:pStyle w:val="Tflutexti"/>
              <w:spacing w:before="0" w:after="0"/>
              <w:ind w:left="323" w:hanging="323"/>
              <w:rPr>
                <w:rFonts w:ascii="Times New Roman" w:hAnsi="Times New Roman" w:cs="Times New Roman"/>
                <w:sz w:val="18"/>
                <w:szCs w:val="18"/>
              </w:rPr>
            </w:pPr>
            <w:r w:rsidRPr="00272E26">
              <w:rPr>
                <w:rFonts w:ascii="Times New Roman" w:hAnsi="Times New Roman" w:cs="Times New Roman"/>
                <w:sz w:val="18"/>
                <w:szCs w:val="18"/>
              </w:rPr>
              <w:t>c)</w:t>
            </w:r>
            <w:r w:rsidRPr="00272E26">
              <w:rPr>
                <w:rFonts w:ascii="Times New Roman" w:hAnsi="Times New Roman" w:cs="Times New Roman"/>
                <w:sz w:val="18"/>
                <w:szCs w:val="18"/>
              </w:rPr>
              <w:tab/>
              <w:t>menntun og hæfi,</w:t>
            </w:r>
          </w:p>
          <w:p w:rsidR="0077478B" w:rsidRPr="00272E26" w:rsidRDefault="0077478B" w:rsidP="0077478B">
            <w:pPr>
              <w:pStyle w:val="Tflutexti"/>
              <w:spacing w:before="0"/>
              <w:ind w:left="323" w:hanging="323"/>
              <w:rPr>
                <w:rFonts w:ascii="Times New Roman" w:hAnsi="Times New Roman" w:cs="Times New Roman"/>
                <w:sz w:val="18"/>
                <w:szCs w:val="18"/>
              </w:rPr>
            </w:pPr>
            <w:r w:rsidRPr="00272E26">
              <w:rPr>
                <w:rFonts w:ascii="Times New Roman" w:hAnsi="Times New Roman" w:cs="Times New Roman"/>
                <w:sz w:val="18"/>
                <w:szCs w:val="18"/>
              </w:rPr>
              <w:t>d)</w:t>
            </w:r>
            <w:r w:rsidRPr="00272E26">
              <w:rPr>
                <w:rFonts w:ascii="Times New Roman" w:hAnsi="Times New Roman" w:cs="Times New Roman"/>
                <w:sz w:val="18"/>
                <w:szCs w:val="18"/>
              </w:rPr>
              <w:tab/>
              <w:t>verulegir hagsmunir sem hann á að gæta í útgefanda, ef einhverjir eru.</w:t>
            </w:r>
          </w:p>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Hafi yfirlýsingin eða greinargerðin verið gerð að beiðni útgefandans skal taka fram að sú yfirlýsing eða greinargerð fylgi með í útgefandalýsingunni með samþykki þess aðila sem heimilaði efni þess hluta útgefandalýsingarinnar vegna lýsingarinnar.</w:t>
            </w:r>
          </w:p>
        </w:tc>
      </w:tr>
      <w:tr w:rsidR="0077478B" w:rsidRPr="00272E26" w:rsidTr="00272E26">
        <w:tc>
          <w:tcPr>
            <w:tcW w:w="845" w:type="dxa"/>
            <w:tcBorders>
              <w:left w:val="nil"/>
            </w:tcBorders>
          </w:tcPr>
          <w:p w:rsidR="0077478B" w:rsidRPr="00272E26" w:rsidRDefault="0077478B" w:rsidP="0056743C">
            <w:pPr>
              <w:pStyle w:val="Meginml"/>
              <w:rPr>
                <w:rFonts w:ascii="Times New Roman" w:hAnsi="Times New Roman" w:cs="Times New Roman"/>
                <w:sz w:val="18"/>
                <w:szCs w:val="18"/>
              </w:rPr>
            </w:pPr>
          </w:p>
        </w:tc>
        <w:tc>
          <w:tcPr>
            <w:tcW w:w="1282" w:type="dxa"/>
          </w:tcPr>
          <w:p w:rsidR="0077478B" w:rsidRPr="00272E26" w:rsidRDefault="0077478B" w:rsidP="0056743C">
            <w:pPr>
              <w:pStyle w:val="Tflutexti"/>
              <w:rPr>
                <w:rFonts w:ascii="Times New Roman" w:hAnsi="Times New Roman" w:cs="Times New Roman"/>
                <w:sz w:val="18"/>
                <w:szCs w:val="18"/>
              </w:rPr>
            </w:pPr>
            <w:r w:rsidRPr="00272E26">
              <w:rPr>
                <w:rFonts w:ascii="Times New Roman" w:hAnsi="Times New Roman" w:cs="Times New Roman"/>
                <w:sz w:val="18"/>
                <w:szCs w:val="18"/>
              </w:rPr>
              <w:t>Liður 1.4.</w:t>
            </w:r>
          </w:p>
        </w:tc>
        <w:tc>
          <w:tcPr>
            <w:tcW w:w="7224" w:type="dxa"/>
            <w:tcBorders>
              <w:right w:val="nil"/>
            </w:tcBorders>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 ónákvæmar eða villandi. Auk þess skal tilgreina uppruna upplýsinganna.</w:t>
            </w:r>
          </w:p>
        </w:tc>
      </w:tr>
      <w:tr w:rsidR="0077478B" w:rsidRPr="00272E26" w:rsidTr="00272E26">
        <w:tc>
          <w:tcPr>
            <w:tcW w:w="845" w:type="dxa"/>
            <w:tcBorders>
              <w:left w:val="nil"/>
            </w:tcBorders>
          </w:tcPr>
          <w:p w:rsidR="0077478B" w:rsidRPr="00272E26" w:rsidRDefault="0077478B" w:rsidP="0077478B">
            <w:pPr>
              <w:pStyle w:val="Meginml"/>
              <w:rPr>
                <w:rFonts w:ascii="Times New Roman" w:hAnsi="Times New Roman" w:cs="Times New Roman"/>
                <w:sz w:val="18"/>
                <w:szCs w:val="18"/>
              </w:rPr>
            </w:pPr>
            <w:r w:rsidRPr="00272E26">
              <w:rPr>
                <w:rFonts w:ascii="Times New Roman" w:hAnsi="Times New Roman" w:cs="Times New Roman"/>
                <w:sz w:val="18"/>
                <w:szCs w:val="18"/>
              </w:rPr>
              <w:br w:type="page"/>
            </w:r>
          </w:p>
        </w:tc>
        <w:tc>
          <w:tcPr>
            <w:tcW w:w="1282" w:type="dxa"/>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1.5.</w:t>
            </w:r>
          </w:p>
        </w:tc>
        <w:tc>
          <w:tcPr>
            <w:tcW w:w="7224" w:type="dxa"/>
            <w:tcBorders>
              <w:right w:val="nil"/>
            </w:tcBorders>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Yfirlýsing þess efnis að:</w:t>
            </w:r>
          </w:p>
          <w:p w:rsidR="0077478B" w:rsidRPr="00272E26" w:rsidRDefault="0077478B" w:rsidP="0077478B">
            <w:pPr>
              <w:pStyle w:val="Tflutexti"/>
              <w:spacing w:after="0"/>
              <w:ind w:left="323" w:hanging="323"/>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[útgefandalýsingin/lýsingin] hafi verið staðfest af [heiti lögbærs yfirvalds] sem lögbæru yfirvaldi samkvæmt reglugerð (ESB) 2017/1129,</w:t>
            </w:r>
          </w:p>
          <w:p w:rsidR="0077478B" w:rsidRPr="00272E26" w:rsidRDefault="0077478B" w:rsidP="0077478B">
            <w:pPr>
              <w:pStyle w:val="Tflutexti"/>
              <w:spacing w:before="0" w:after="0"/>
              <w:ind w:left="323" w:hanging="323"/>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[heiti lögbærs yfirvalds] staðfesti aðeins viðkomandi [útgefandalýsingu/lýsingu] í þeim skilningi að hún uppfylli þær kröfur um að vera fullnægjandi, skiljanleg og samkvæm sem kveðið er á um í reglugerð (ESB) 2017/1129,</w:t>
            </w:r>
          </w:p>
          <w:p w:rsidR="0077478B" w:rsidRPr="00272E26" w:rsidRDefault="0077478B" w:rsidP="006A5904">
            <w:pPr>
              <w:pStyle w:val="Tflutexti"/>
              <w:suppressAutoHyphens/>
              <w:spacing w:before="0" w:after="0"/>
              <w:ind w:left="323" w:hanging="323"/>
              <w:rPr>
                <w:rFonts w:ascii="Times New Roman" w:hAnsi="Times New Roman" w:cs="Times New Roman"/>
                <w:sz w:val="18"/>
                <w:szCs w:val="18"/>
              </w:rPr>
            </w:pPr>
            <w:r w:rsidRPr="00272E26">
              <w:rPr>
                <w:rFonts w:ascii="Times New Roman" w:hAnsi="Times New Roman" w:cs="Times New Roman"/>
                <w:sz w:val="18"/>
                <w:szCs w:val="18"/>
              </w:rPr>
              <w:t>c)</w:t>
            </w:r>
            <w:r w:rsidRPr="00272E26">
              <w:rPr>
                <w:rFonts w:ascii="Times New Roman" w:hAnsi="Times New Roman" w:cs="Times New Roman"/>
                <w:sz w:val="18"/>
                <w:szCs w:val="18"/>
              </w:rPr>
              <w:tab/>
              <w:t xml:space="preserve">ekki </w:t>
            </w:r>
            <w:r w:rsidR="006A5904" w:rsidRPr="00272E26">
              <w:rPr>
                <w:rFonts w:ascii="Times New Roman" w:hAnsi="Times New Roman" w:cs="Times New Roman"/>
                <w:sz w:val="18"/>
                <w:szCs w:val="18"/>
              </w:rPr>
              <w:t xml:space="preserve"> </w:t>
            </w:r>
            <w:r w:rsidRPr="00272E26">
              <w:rPr>
                <w:rFonts w:ascii="Times New Roman" w:hAnsi="Times New Roman" w:cs="Times New Roman"/>
                <w:sz w:val="18"/>
                <w:szCs w:val="18"/>
              </w:rPr>
              <w:t>beri að líta á slíka staðfestingu sem stuðning við útgefandann sem viðkomandi [útgefanda</w:t>
            </w:r>
            <w:r w:rsidR="006A5904" w:rsidRPr="00272E26">
              <w:rPr>
                <w:rFonts w:ascii="Times New Roman" w:hAnsi="Times New Roman" w:cs="Times New Roman"/>
                <w:sz w:val="18"/>
                <w:szCs w:val="18"/>
              </w:rPr>
              <w:t>-</w:t>
            </w:r>
            <w:r w:rsidRPr="00272E26">
              <w:rPr>
                <w:rFonts w:ascii="Times New Roman" w:hAnsi="Times New Roman" w:cs="Times New Roman"/>
                <w:sz w:val="18"/>
                <w:szCs w:val="18"/>
              </w:rPr>
              <w:t>lýsing/lýsing] varðar.</w:t>
            </w:r>
          </w:p>
          <w:p w:rsidR="0077478B" w:rsidRPr="00272E26" w:rsidRDefault="0077478B" w:rsidP="0077478B">
            <w:pPr>
              <w:pStyle w:val="Tflutexti"/>
              <w:spacing w:before="0"/>
              <w:ind w:left="323" w:hanging="323"/>
              <w:rPr>
                <w:rFonts w:ascii="Times New Roman" w:hAnsi="Times New Roman" w:cs="Times New Roman"/>
                <w:sz w:val="18"/>
                <w:szCs w:val="18"/>
              </w:rPr>
            </w:pPr>
            <w:r w:rsidRPr="00272E26">
              <w:rPr>
                <w:rFonts w:ascii="Times New Roman" w:hAnsi="Times New Roman" w:cs="Times New Roman"/>
                <w:sz w:val="18"/>
                <w:szCs w:val="18"/>
              </w:rPr>
              <w:t>d)</w:t>
            </w:r>
            <w:r w:rsidRPr="00272E26">
              <w:rPr>
                <w:rFonts w:ascii="Times New Roman" w:hAnsi="Times New Roman" w:cs="Times New Roman"/>
                <w:sz w:val="18"/>
                <w:szCs w:val="18"/>
              </w:rPr>
              <w:tab/>
              <w:t>[útgefandalýsing/lýsing] hafi verið samin sem hluti af einfaldaðri lýsingu í samræmi við 14. gr. reglugerðar (ESB) 2017/1129.</w:t>
            </w:r>
          </w:p>
        </w:tc>
      </w:tr>
      <w:tr w:rsidR="0077478B" w:rsidRPr="00272E26" w:rsidTr="00272E26">
        <w:tc>
          <w:tcPr>
            <w:tcW w:w="845" w:type="dxa"/>
            <w:tcBorders>
              <w:left w:val="nil"/>
            </w:tcBorders>
          </w:tcPr>
          <w:p w:rsidR="0077478B" w:rsidRPr="00272E26" w:rsidRDefault="0077478B" w:rsidP="0077478B">
            <w:pPr>
              <w:pStyle w:val="Meginml"/>
              <w:rPr>
                <w:rFonts w:ascii="Times New Roman" w:hAnsi="Times New Roman" w:cs="Times New Roman"/>
                <w:sz w:val="18"/>
                <w:szCs w:val="18"/>
              </w:rPr>
            </w:pPr>
          </w:p>
        </w:tc>
        <w:tc>
          <w:tcPr>
            <w:tcW w:w="1282" w:type="dxa"/>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2. ÞÁTTUR</w:t>
            </w:r>
          </w:p>
        </w:tc>
        <w:tc>
          <w:tcPr>
            <w:tcW w:w="7224" w:type="dxa"/>
            <w:tcBorders>
              <w:right w:val="nil"/>
            </w:tcBorders>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LÖGGILTIR ENDURSKOÐENDUR</w:t>
            </w:r>
          </w:p>
        </w:tc>
      </w:tr>
      <w:tr w:rsidR="0077478B" w:rsidRPr="00272E26" w:rsidTr="00272E26">
        <w:tc>
          <w:tcPr>
            <w:tcW w:w="845" w:type="dxa"/>
            <w:tcBorders>
              <w:left w:val="nil"/>
            </w:tcBorders>
          </w:tcPr>
          <w:p w:rsidR="0077478B" w:rsidRPr="00272E26" w:rsidRDefault="0077478B" w:rsidP="0077478B">
            <w:pPr>
              <w:pStyle w:val="Meginml"/>
              <w:rPr>
                <w:rFonts w:ascii="Times New Roman" w:hAnsi="Times New Roman" w:cs="Times New Roman"/>
                <w:sz w:val="18"/>
                <w:szCs w:val="18"/>
              </w:rPr>
            </w:pPr>
          </w:p>
        </w:tc>
        <w:tc>
          <w:tcPr>
            <w:tcW w:w="1282" w:type="dxa"/>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2.1.</w:t>
            </w:r>
          </w:p>
        </w:tc>
        <w:tc>
          <w:tcPr>
            <w:tcW w:w="7224" w:type="dxa"/>
            <w:tcBorders>
              <w:right w:val="nil"/>
            </w:tcBorders>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Nöfn endurskoðenda útgefandans á því tímabili sem hinar sögulegu fjárhagslegu upplýsingar taka til (og aðild þeirra að fagfélagi).</w:t>
            </w:r>
          </w:p>
        </w:tc>
      </w:tr>
      <w:tr w:rsidR="0077478B" w:rsidRPr="00272E26" w:rsidTr="00272E26">
        <w:tc>
          <w:tcPr>
            <w:tcW w:w="845" w:type="dxa"/>
            <w:tcBorders>
              <w:left w:val="nil"/>
            </w:tcBorders>
          </w:tcPr>
          <w:p w:rsidR="0077478B" w:rsidRPr="00272E26" w:rsidRDefault="0077478B" w:rsidP="0077478B">
            <w:pPr>
              <w:pStyle w:val="Meginml"/>
              <w:rPr>
                <w:rFonts w:ascii="Times New Roman" w:hAnsi="Times New Roman" w:cs="Times New Roman"/>
                <w:sz w:val="18"/>
                <w:szCs w:val="18"/>
              </w:rPr>
            </w:pPr>
          </w:p>
        </w:tc>
        <w:tc>
          <w:tcPr>
            <w:tcW w:w="1282" w:type="dxa"/>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3. ÞÁTTUR</w:t>
            </w:r>
          </w:p>
        </w:tc>
        <w:tc>
          <w:tcPr>
            <w:tcW w:w="7224" w:type="dxa"/>
            <w:tcBorders>
              <w:right w:val="nil"/>
            </w:tcBorders>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ÁHÆTTUÞÆTTIR</w:t>
            </w:r>
          </w:p>
        </w:tc>
      </w:tr>
      <w:tr w:rsidR="0077478B" w:rsidRPr="00272E26" w:rsidTr="00272E26">
        <w:tc>
          <w:tcPr>
            <w:tcW w:w="845" w:type="dxa"/>
            <w:tcBorders>
              <w:left w:val="nil"/>
            </w:tcBorders>
          </w:tcPr>
          <w:p w:rsidR="0077478B" w:rsidRPr="00272E26" w:rsidRDefault="0077478B" w:rsidP="0077478B">
            <w:pPr>
              <w:pStyle w:val="Meginml"/>
              <w:rPr>
                <w:rFonts w:ascii="Times New Roman" w:hAnsi="Times New Roman" w:cs="Times New Roman"/>
                <w:sz w:val="18"/>
                <w:szCs w:val="18"/>
              </w:rPr>
            </w:pPr>
          </w:p>
        </w:tc>
        <w:tc>
          <w:tcPr>
            <w:tcW w:w="1282" w:type="dxa"/>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3.1.</w:t>
            </w:r>
          </w:p>
        </w:tc>
        <w:tc>
          <w:tcPr>
            <w:tcW w:w="7224" w:type="dxa"/>
            <w:tcBorders>
              <w:right w:val="nil"/>
            </w:tcBorders>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Lýsing á verulegri áhættu sem er sértæk fyrir útgefandann, í takmörkuðum fjölda flokka, í kafla með fyrirsögnina „Áhættuþættir“.</w:t>
            </w:r>
          </w:p>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Í hverjum flokki skal fyrst telja upp alvarlegustu áhættuþættina að mati útgefanda, tilboðsgjafa eða aðilans sem sækir um töku til viðskipta á skipulegum markaði, að teknu tilliti til neikvæðra áhrifa á útgefandann og líkanna á að þeir raungerist. Áhættuþættirnir skulu staðfestir með efni útgefandalýsingarinnar.</w:t>
            </w:r>
          </w:p>
        </w:tc>
      </w:tr>
      <w:tr w:rsidR="0077478B" w:rsidRPr="00272E26" w:rsidTr="00272E26">
        <w:tc>
          <w:tcPr>
            <w:tcW w:w="845" w:type="dxa"/>
            <w:tcBorders>
              <w:left w:val="nil"/>
            </w:tcBorders>
          </w:tcPr>
          <w:p w:rsidR="0077478B" w:rsidRPr="00272E26" w:rsidRDefault="0077478B" w:rsidP="0077478B">
            <w:pPr>
              <w:pStyle w:val="Meginml"/>
              <w:rPr>
                <w:rFonts w:ascii="Times New Roman" w:hAnsi="Times New Roman" w:cs="Times New Roman"/>
                <w:sz w:val="18"/>
                <w:szCs w:val="18"/>
              </w:rPr>
            </w:pPr>
          </w:p>
        </w:tc>
        <w:tc>
          <w:tcPr>
            <w:tcW w:w="1282" w:type="dxa"/>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4. ÞÁTTUR</w:t>
            </w:r>
          </w:p>
        </w:tc>
        <w:tc>
          <w:tcPr>
            <w:tcW w:w="7224" w:type="dxa"/>
            <w:tcBorders>
              <w:right w:val="nil"/>
            </w:tcBorders>
          </w:tcPr>
          <w:p w:rsidR="0077478B" w:rsidRPr="00272E26" w:rsidRDefault="0077478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UPPLÝSINGAR UM ÚTGEFANDA</w:t>
            </w:r>
          </w:p>
        </w:tc>
      </w:tr>
      <w:tr w:rsidR="00C85B4B" w:rsidRPr="00272E26" w:rsidTr="00272E26">
        <w:tc>
          <w:tcPr>
            <w:tcW w:w="845" w:type="dxa"/>
            <w:tcBorders>
              <w:left w:val="nil"/>
            </w:tcBorders>
          </w:tcPr>
          <w:p w:rsidR="00C85B4B" w:rsidRPr="00272E26" w:rsidRDefault="00C85B4B" w:rsidP="0077478B">
            <w:pPr>
              <w:pStyle w:val="Meginml"/>
              <w:rPr>
                <w:rFonts w:ascii="Times New Roman" w:hAnsi="Times New Roman" w:cs="Times New Roman"/>
                <w:sz w:val="18"/>
                <w:szCs w:val="18"/>
              </w:rPr>
            </w:pPr>
          </w:p>
        </w:tc>
        <w:tc>
          <w:tcPr>
            <w:tcW w:w="1282" w:type="dxa"/>
          </w:tcPr>
          <w:p w:rsidR="00C85B4B" w:rsidRPr="00272E26" w:rsidRDefault="00C85B4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4.1.</w:t>
            </w:r>
          </w:p>
        </w:tc>
        <w:tc>
          <w:tcPr>
            <w:tcW w:w="7224" w:type="dxa"/>
            <w:tcBorders>
              <w:right w:val="nil"/>
            </w:tcBorders>
          </w:tcPr>
          <w:p w:rsidR="00C85B4B" w:rsidRPr="00272E26" w:rsidRDefault="00C85B4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Lögheiti og viðskiptaheiti útgefanda.</w:t>
            </w:r>
          </w:p>
        </w:tc>
      </w:tr>
      <w:tr w:rsidR="00C85B4B" w:rsidRPr="00272E26" w:rsidTr="00272E26">
        <w:tc>
          <w:tcPr>
            <w:tcW w:w="845" w:type="dxa"/>
            <w:tcBorders>
              <w:left w:val="nil"/>
            </w:tcBorders>
          </w:tcPr>
          <w:p w:rsidR="00C85B4B" w:rsidRPr="00272E26" w:rsidRDefault="00C85B4B" w:rsidP="0077478B">
            <w:pPr>
              <w:pStyle w:val="Meginml"/>
              <w:rPr>
                <w:rFonts w:ascii="Times New Roman" w:hAnsi="Times New Roman" w:cs="Times New Roman"/>
                <w:sz w:val="18"/>
                <w:szCs w:val="18"/>
              </w:rPr>
            </w:pPr>
          </w:p>
        </w:tc>
        <w:tc>
          <w:tcPr>
            <w:tcW w:w="1282" w:type="dxa"/>
          </w:tcPr>
          <w:p w:rsidR="00C85B4B" w:rsidRPr="00272E26" w:rsidRDefault="00C85B4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4.2.</w:t>
            </w:r>
          </w:p>
        </w:tc>
        <w:tc>
          <w:tcPr>
            <w:tcW w:w="7224" w:type="dxa"/>
            <w:tcBorders>
              <w:right w:val="nil"/>
            </w:tcBorders>
          </w:tcPr>
          <w:p w:rsidR="00C85B4B" w:rsidRPr="00272E26" w:rsidRDefault="00C85B4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Lögheimili útgefanda og rekstrarform hans að lögum, auðkenni lögaðila (LEI-númer), löggjöfin sem útgefandi starfar samkvæmt, heiti lands þar sem útgefandi er skráður, heimilisfang, símanúmer skráðrar skrifstofu hans (eða aðalstarfsstöðvar ef hún er ekki á skráðri skrifstofu hans) og vefsetur útgefanda, sé um það að ræða, með fyrirvara um að upplýsingar á vefsetrinu séu ekki hluti lýsingarinnar nema þær upplýsingar séu felldar inn í lýsinguna með tilvísun.</w:t>
            </w:r>
          </w:p>
        </w:tc>
      </w:tr>
      <w:tr w:rsidR="00C85B4B" w:rsidRPr="00272E26" w:rsidTr="00272E26">
        <w:tc>
          <w:tcPr>
            <w:tcW w:w="845" w:type="dxa"/>
            <w:tcBorders>
              <w:left w:val="nil"/>
            </w:tcBorders>
          </w:tcPr>
          <w:p w:rsidR="00C85B4B" w:rsidRPr="00272E26" w:rsidRDefault="00C85B4B" w:rsidP="0077478B">
            <w:pPr>
              <w:pStyle w:val="Meginml"/>
              <w:rPr>
                <w:rFonts w:ascii="Times New Roman" w:hAnsi="Times New Roman" w:cs="Times New Roman"/>
                <w:sz w:val="18"/>
                <w:szCs w:val="18"/>
              </w:rPr>
            </w:pPr>
          </w:p>
        </w:tc>
        <w:tc>
          <w:tcPr>
            <w:tcW w:w="1282" w:type="dxa"/>
          </w:tcPr>
          <w:p w:rsidR="00C85B4B" w:rsidRPr="00272E26" w:rsidRDefault="00C85B4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5. ÞÁTTUR</w:t>
            </w:r>
          </w:p>
        </w:tc>
        <w:tc>
          <w:tcPr>
            <w:tcW w:w="7224" w:type="dxa"/>
            <w:tcBorders>
              <w:right w:val="nil"/>
            </w:tcBorders>
          </w:tcPr>
          <w:p w:rsidR="00C85B4B" w:rsidRPr="00272E26" w:rsidRDefault="00C85B4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YFIRLIT UM STARFSEMI</w:t>
            </w:r>
          </w:p>
        </w:tc>
      </w:tr>
      <w:tr w:rsidR="00C85B4B" w:rsidRPr="00272E26" w:rsidTr="00272E26">
        <w:tc>
          <w:tcPr>
            <w:tcW w:w="845" w:type="dxa"/>
            <w:tcBorders>
              <w:left w:val="nil"/>
            </w:tcBorders>
          </w:tcPr>
          <w:p w:rsidR="00C85B4B" w:rsidRPr="00272E26" w:rsidRDefault="00C85B4B" w:rsidP="0077478B">
            <w:pPr>
              <w:pStyle w:val="Meginml"/>
              <w:rPr>
                <w:rFonts w:ascii="Times New Roman" w:hAnsi="Times New Roman" w:cs="Times New Roman"/>
                <w:sz w:val="18"/>
                <w:szCs w:val="18"/>
              </w:rPr>
            </w:pPr>
          </w:p>
        </w:tc>
        <w:tc>
          <w:tcPr>
            <w:tcW w:w="1282" w:type="dxa"/>
          </w:tcPr>
          <w:p w:rsidR="00C85B4B" w:rsidRPr="00272E26" w:rsidRDefault="00C85B4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5.1.</w:t>
            </w:r>
          </w:p>
        </w:tc>
        <w:tc>
          <w:tcPr>
            <w:tcW w:w="7224" w:type="dxa"/>
            <w:tcBorders>
              <w:right w:val="nil"/>
            </w:tcBorders>
          </w:tcPr>
          <w:p w:rsidR="00C85B4B" w:rsidRPr="00272E26" w:rsidRDefault="00C85B4B" w:rsidP="00C85B4B">
            <w:pPr>
              <w:pStyle w:val="Tflutexti"/>
              <w:rPr>
                <w:rFonts w:ascii="Times New Roman" w:hAnsi="Times New Roman" w:cs="Times New Roman"/>
                <w:sz w:val="18"/>
                <w:szCs w:val="18"/>
              </w:rPr>
            </w:pPr>
            <w:r w:rsidRPr="00272E26">
              <w:rPr>
                <w:rFonts w:ascii="Times New Roman" w:hAnsi="Times New Roman" w:cs="Times New Roman"/>
                <w:sz w:val="18"/>
                <w:szCs w:val="18"/>
              </w:rPr>
              <w:t>Stutt lýsing á:</w:t>
            </w:r>
          </w:p>
          <w:p w:rsidR="00C85B4B" w:rsidRPr="00272E26" w:rsidRDefault="00C85B4B" w:rsidP="00C85B4B">
            <w:pPr>
              <w:pStyle w:val="Tflutexti"/>
              <w:spacing w:after="0"/>
              <w:ind w:left="323" w:hanging="323"/>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helstu starfsemi útgefanda,</w:t>
            </w:r>
          </w:p>
          <w:p w:rsidR="00C85B4B" w:rsidRPr="00272E26" w:rsidRDefault="00C85B4B" w:rsidP="00C85B4B">
            <w:pPr>
              <w:pStyle w:val="Tflutexti"/>
              <w:spacing w:before="0"/>
              <w:ind w:left="323" w:hanging="323"/>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öllum mikilvægum breytingum sem hafa haft áhrif á rekstur útgefanda og helstu starfsemi frá lokum tímabilsins sem nýjustu birtu endurskoðuðu reikningsskil ná yfir, þ.m.t. eftirfarandi:</w:t>
            </w:r>
          </w:p>
          <w:p w:rsidR="00B73A36" w:rsidRPr="00272E26" w:rsidRDefault="00B73A36" w:rsidP="00B73A36">
            <w:pPr>
              <w:pStyle w:val="Tflutexti"/>
              <w:spacing w:after="0"/>
              <w:ind w:left="607" w:hanging="284"/>
              <w:rPr>
                <w:rFonts w:ascii="Times New Roman" w:hAnsi="Times New Roman" w:cs="Times New Roman"/>
                <w:sz w:val="18"/>
                <w:szCs w:val="18"/>
              </w:rPr>
            </w:pPr>
            <w:r w:rsidRPr="00272E26">
              <w:rPr>
                <w:rFonts w:ascii="Times New Roman" w:hAnsi="Times New Roman" w:cs="Times New Roman"/>
                <w:sz w:val="18"/>
                <w:szCs w:val="18"/>
              </w:rPr>
              <w:t>i.</w:t>
            </w:r>
            <w:r w:rsidRPr="00272E26">
              <w:rPr>
                <w:rFonts w:ascii="Times New Roman" w:hAnsi="Times New Roman" w:cs="Times New Roman"/>
                <w:sz w:val="18"/>
                <w:szCs w:val="18"/>
              </w:rPr>
              <w:tab/>
              <w:t>tilgreining á öllum mikilvægum nýjum vörum og þjónustu sem bæst hafa við,</w:t>
            </w:r>
          </w:p>
          <w:p w:rsidR="00B73A36" w:rsidRPr="00272E26" w:rsidRDefault="00B73A36" w:rsidP="00B73A36">
            <w:pPr>
              <w:pStyle w:val="Tflutexti"/>
              <w:spacing w:before="0" w:after="0"/>
              <w:ind w:left="607" w:hanging="284"/>
              <w:rPr>
                <w:rFonts w:ascii="Times New Roman" w:hAnsi="Times New Roman" w:cs="Times New Roman"/>
                <w:sz w:val="18"/>
                <w:szCs w:val="18"/>
              </w:rPr>
            </w:pPr>
            <w:proofErr w:type="spellStart"/>
            <w:r w:rsidRPr="00272E26">
              <w:rPr>
                <w:rFonts w:ascii="Times New Roman" w:hAnsi="Times New Roman" w:cs="Times New Roman"/>
                <w:sz w:val="18"/>
                <w:szCs w:val="18"/>
              </w:rPr>
              <w:t>ii</w:t>
            </w:r>
            <w:proofErr w:type="spellEnd"/>
            <w:r w:rsidRPr="00272E26">
              <w:rPr>
                <w:rFonts w:ascii="Times New Roman" w:hAnsi="Times New Roman" w:cs="Times New Roman"/>
                <w:sz w:val="18"/>
                <w:szCs w:val="18"/>
              </w:rPr>
              <w:t>.</w:t>
            </w:r>
            <w:r w:rsidRPr="00272E26">
              <w:rPr>
                <w:rFonts w:ascii="Times New Roman" w:hAnsi="Times New Roman" w:cs="Times New Roman"/>
                <w:sz w:val="18"/>
                <w:szCs w:val="18"/>
              </w:rPr>
              <w:tab/>
              <w:t>staða þróunar nýju varanna eða þjónustunnar að því marki sem hún hefur verið birt opinberlega,</w:t>
            </w:r>
          </w:p>
          <w:p w:rsidR="00C85B4B" w:rsidRPr="00272E26" w:rsidRDefault="00B73A36" w:rsidP="00B73A36">
            <w:pPr>
              <w:pStyle w:val="Tflutexti"/>
              <w:spacing w:before="0"/>
              <w:ind w:left="607" w:hanging="284"/>
              <w:rPr>
                <w:rFonts w:ascii="Times New Roman" w:hAnsi="Times New Roman" w:cs="Times New Roman"/>
                <w:sz w:val="18"/>
                <w:szCs w:val="18"/>
              </w:rPr>
            </w:pPr>
            <w:proofErr w:type="spellStart"/>
            <w:r w:rsidRPr="00272E26">
              <w:rPr>
                <w:rFonts w:ascii="Times New Roman" w:hAnsi="Times New Roman" w:cs="Times New Roman"/>
                <w:sz w:val="18"/>
                <w:szCs w:val="18"/>
              </w:rPr>
              <w:t>iii</w:t>
            </w:r>
            <w:proofErr w:type="spellEnd"/>
            <w:r w:rsidRPr="00272E26">
              <w:rPr>
                <w:rFonts w:ascii="Times New Roman" w:hAnsi="Times New Roman" w:cs="Times New Roman"/>
                <w:sz w:val="18"/>
                <w:szCs w:val="18"/>
              </w:rPr>
              <w:t>.</w:t>
            </w:r>
            <w:r w:rsidRPr="00272E26">
              <w:rPr>
                <w:rFonts w:ascii="Times New Roman" w:hAnsi="Times New Roman" w:cs="Times New Roman"/>
                <w:sz w:val="18"/>
                <w:szCs w:val="18"/>
              </w:rPr>
              <w:tab/>
              <w:t>allar mikilvægar breytingar á lagaumhverfi útgefandans frá tímabilinu sem nýjustu birtu og endurskoðuðu reikningsskil ná yfir.</w:t>
            </w:r>
            <w:r w:rsidRPr="00272E26">
              <w:rPr>
                <w:rFonts w:ascii="Times New Roman" w:hAnsi="Times New Roman" w:cs="Times New Roman"/>
                <w:sz w:val="18"/>
                <w:szCs w:val="18"/>
              </w:rPr>
              <w:tab/>
            </w:r>
          </w:p>
        </w:tc>
      </w:tr>
      <w:tr w:rsidR="00C85B4B" w:rsidRPr="00272E26" w:rsidTr="00272E26">
        <w:tc>
          <w:tcPr>
            <w:tcW w:w="845" w:type="dxa"/>
            <w:tcBorders>
              <w:left w:val="nil"/>
            </w:tcBorders>
          </w:tcPr>
          <w:p w:rsidR="00C85B4B" w:rsidRPr="00272E26" w:rsidRDefault="00C85B4B" w:rsidP="0077478B">
            <w:pPr>
              <w:pStyle w:val="Meginml"/>
              <w:rPr>
                <w:rFonts w:ascii="Times New Roman" w:hAnsi="Times New Roman" w:cs="Times New Roman"/>
                <w:sz w:val="18"/>
                <w:szCs w:val="18"/>
              </w:rPr>
            </w:pPr>
          </w:p>
        </w:tc>
        <w:tc>
          <w:tcPr>
            <w:tcW w:w="1282" w:type="dxa"/>
          </w:tcPr>
          <w:p w:rsidR="00C85B4B" w:rsidRPr="00272E26" w:rsidRDefault="00BA76B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5.2.</w:t>
            </w:r>
          </w:p>
        </w:tc>
        <w:tc>
          <w:tcPr>
            <w:tcW w:w="7224" w:type="dxa"/>
            <w:tcBorders>
              <w:right w:val="nil"/>
            </w:tcBorders>
          </w:tcPr>
          <w:p w:rsidR="00C85B4B" w:rsidRPr="00272E26" w:rsidRDefault="00BA76B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Fjárfestingar</w:t>
            </w:r>
          </w:p>
        </w:tc>
      </w:tr>
      <w:tr w:rsidR="00C85B4B" w:rsidRPr="00272E26" w:rsidTr="00272E26">
        <w:tc>
          <w:tcPr>
            <w:tcW w:w="845" w:type="dxa"/>
            <w:tcBorders>
              <w:left w:val="nil"/>
            </w:tcBorders>
          </w:tcPr>
          <w:p w:rsidR="00C85B4B" w:rsidRPr="00272E26" w:rsidRDefault="00C85B4B" w:rsidP="0077478B">
            <w:pPr>
              <w:pStyle w:val="Meginml"/>
              <w:rPr>
                <w:rFonts w:ascii="Times New Roman" w:hAnsi="Times New Roman" w:cs="Times New Roman"/>
                <w:sz w:val="18"/>
                <w:szCs w:val="18"/>
              </w:rPr>
            </w:pPr>
          </w:p>
        </w:tc>
        <w:tc>
          <w:tcPr>
            <w:tcW w:w="1282" w:type="dxa"/>
          </w:tcPr>
          <w:p w:rsidR="00C85B4B" w:rsidRPr="00272E26" w:rsidRDefault="00BA76B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5.2.1.</w:t>
            </w:r>
          </w:p>
        </w:tc>
        <w:tc>
          <w:tcPr>
            <w:tcW w:w="7224" w:type="dxa"/>
            <w:tcBorders>
              <w:right w:val="nil"/>
            </w:tcBorders>
          </w:tcPr>
          <w:p w:rsidR="00C85B4B" w:rsidRPr="00272E26" w:rsidRDefault="00BA76B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Lýsing á verulegum fjárfestingum sem útgefandi hefur ráðist í frá dagsetningu síðustu birtu reikningsskila og sem eru yfirstandandi og/eða sem þegar hefur verið gengist undir fastar skuldbindingar vegna og áætluðum fjármögnunarleiðum.</w:t>
            </w:r>
          </w:p>
        </w:tc>
      </w:tr>
      <w:tr w:rsidR="00C85B4B" w:rsidRPr="00272E26" w:rsidTr="00272E26">
        <w:tc>
          <w:tcPr>
            <w:tcW w:w="845" w:type="dxa"/>
            <w:tcBorders>
              <w:left w:val="nil"/>
            </w:tcBorders>
          </w:tcPr>
          <w:p w:rsidR="00C85B4B" w:rsidRPr="00272E26" w:rsidRDefault="00BA76BB" w:rsidP="0077478B">
            <w:pPr>
              <w:pStyle w:val="Meginml"/>
              <w:rPr>
                <w:rFonts w:ascii="Times New Roman" w:hAnsi="Times New Roman" w:cs="Times New Roman"/>
                <w:sz w:val="18"/>
                <w:szCs w:val="18"/>
              </w:rPr>
            </w:pPr>
            <w:r w:rsidRPr="00272E26">
              <w:rPr>
                <w:rFonts w:ascii="Times New Roman" w:hAnsi="Times New Roman" w:cs="Times New Roman"/>
                <w:sz w:val="18"/>
                <w:szCs w:val="18"/>
              </w:rPr>
              <w:br w:type="page"/>
            </w:r>
          </w:p>
        </w:tc>
        <w:tc>
          <w:tcPr>
            <w:tcW w:w="1282" w:type="dxa"/>
          </w:tcPr>
          <w:p w:rsidR="00C85B4B" w:rsidRPr="00272E26" w:rsidRDefault="00BA76B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6. ÞÁTTUR</w:t>
            </w:r>
          </w:p>
        </w:tc>
        <w:tc>
          <w:tcPr>
            <w:tcW w:w="7224" w:type="dxa"/>
            <w:tcBorders>
              <w:right w:val="nil"/>
            </w:tcBorders>
          </w:tcPr>
          <w:p w:rsidR="00C85B4B" w:rsidRPr="00272E26" w:rsidRDefault="00BA76B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UPPLÝSINGAR UM ÞRÓUN</w:t>
            </w:r>
          </w:p>
        </w:tc>
      </w:tr>
      <w:tr w:rsidR="00C85B4B" w:rsidRPr="00272E26" w:rsidTr="00272E26">
        <w:tc>
          <w:tcPr>
            <w:tcW w:w="845" w:type="dxa"/>
            <w:tcBorders>
              <w:left w:val="nil"/>
            </w:tcBorders>
          </w:tcPr>
          <w:p w:rsidR="00C85B4B" w:rsidRPr="00272E26" w:rsidRDefault="00C85B4B" w:rsidP="0077478B">
            <w:pPr>
              <w:pStyle w:val="Meginml"/>
              <w:rPr>
                <w:rFonts w:ascii="Times New Roman" w:hAnsi="Times New Roman" w:cs="Times New Roman"/>
                <w:sz w:val="18"/>
                <w:szCs w:val="18"/>
              </w:rPr>
            </w:pPr>
          </w:p>
        </w:tc>
        <w:tc>
          <w:tcPr>
            <w:tcW w:w="1282" w:type="dxa"/>
          </w:tcPr>
          <w:p w:rsidR="00C85B4B" w:rsidRPr="00272E26" w:rsidRDefault="00BA76B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6.1.</w:t>
            </w:r>
          </w:p>
        </w:tc>
        <w:tc>
          <w:tcPr>
            <w:tcW w:w="7224" w:type="dxa"/>
            <w:tcBorders>
              <w:right w:val="nil"/>
            </w:tcBorders>
          </w:tcPr>
          <w:p w:rsidR="00BA76BB" w:rsidRPr="00272E26" w:rsidRDefault="00BA76BB"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Lýsing á:</w:t>
            </w:r>
          </w:p>
          <w:p w:rsidR="00BA76BB" w:rsidRPr="00272E26" w:rsidRDefault="00BA76BB" w:rsidP="00BA76BB">
            <w:pPr>
              <w:pStyle w:val="Tflutexti"/>
              <w:spacing w:after="0"/>
              <w:ind w:left="323" w:hanging="323"/>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mikilvægustu nýlegu þróun í framleiðslu, sölu og birgðum ásamt kostnaði og söluverði frá lokum síðasta fjárhagsárs til dagsetningar útgefandalýsingar,</w:t>
            </w:r>
          </w:p>
          <w:p w:rsidR="00BA76BB" w:rsidRPr="00272E26" w:rsidRDefault="00BA76BB" w:rsidP="00BA76BB">
            <w:pPr>
              <w:pStyle w:val="Tflutexti"/>
              <w:spacing w:before="0" w:after="0"/>
              <w:ind w:left="323" w:hanging="323"/>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öllum verulegum breytingum á fjárhagslegri afkomu samstæðunnar frá lokum síðasta fjárhagstímabils sem fjárhagsupplýsingar hafa verið birtar fyrir til dagsetningar útgefandalýsingarinnar, eða yfirlýsing um að engar slíkar verulegar breytingar hafi átt sér stað,</w:t>
            </w:r>
          </w:p>
          <w:p w:rsidR="00C85B4B" w:rsidRPr="00272E26" w:rsidRDefault="00BA76BB" w:rsidP="00BA76BB">
            <w:pPr>
              <w:pStyle w:val="Tflutexti"/>
              <w:spacing w:before="0"/>
              <w:ind w:left="323" w:hanging="323"/>
              <w:rPr>
                <w:rFonts w:ascii="Times New Roman" w:hAnsi="Times New Roman" w:cs="Times New Roman"/>
                <w:sz w:val="18"/>
                <w:szCs w:val="18"/>
              </w:rPr>
            </w:pPr>
            <w:r w:rsidRPr="00272E26">
              <w:rPr>
                <w:rFonts w:ascii="Times New Roman" w:hAnsi="Times New Roman" w:cs="Times New Roman"/>
                <w:sz w:val="18"/>
                <w:szCs w:val="18"/>
              </w:rPr>
              <w:t>c)</w:t>
            </w:r>
            <w:r w:rsidRPr="00272E26">
              <w:rPr>
                <w:rFonts w:ascii="Times New Roman" w:hAnsi="Times New Roman" w:cs="Times New Roman"/>
                <w:sz w:val="18"/>
                <w:szCs w:val="18"/>
              </w:rPr>
              <w:tab/>
              <w:t>þekktri þróun, óvissuþáttum, kröfum, skuldbindingum eða atburðum sem búast má við að hafi veruleg áhrif á horfur útgefanda á a.m.k. yfirstandandi fjárhagsári.</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BA76B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7. ÞÁTTUR</w:t>
            </w:r>
          </w:p>
        </w:tc>
        <w:tc>
          <w:tcPr>
            <w:tcW w:w="7224" w:type="dxa"/>
            <w:tcBorders>
              <w:right w:val="nil"/>
            </w:tcBorders>
          </w:tcPr>
          <w:p w:rsidR="00BA76BB" w:rsidRPr="00272E26" w:rsidRDefault="00BA76BB"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AFKOMUSPÁR EÐA AFKOMUÁÆTLANIR</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BA76B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7.1.</w:t>
            </w:r>
          </w:p>
        </w:tc>
        <w:tc>
          <w:tcPr>
            <w:tcW w:w="7224" w:type="dxa"/>
            <w:tcBorders>
              <w:right w:val="nil"/>
            </w:tcBorders>
          </w:tcPr>
          <w:p w:rsidR="00BA76BB" w:rsidRPr="00272E26" w:rsidRDefault="00BA76BB"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Hafi útgefandi birt afkomuspá eða afkomuáætlun (sem hefur ekki enn raungerst en er þó í gildi) skal sú spá eða áætlun vera í útgefandalýsingunni. Hafi afkomuspá eða afkomuáætlun verið birt, ekki raungerst og er ekki lengur í gildi skal leggja fram yfirlýsingu þess efnis ásamt útskýringu á því hvers vegna spáin eða áætlunin er ekki lengur í gildi. Slík ógild spá eða áætlun fellur ekki undir kröfurnar í liðum 7.2. og 7.3.</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BA76BB"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7.2.</w:t>
            </w:r>
          </w:p>
        </w:tc>
        <w:tc>
          <w:tcPr>
            <w:tcW w:w="7224" w:type="dxa"/>
            <w:tcBorders>
              <w:right w:val="nil"/>
            </w:tcBorders>
          </w:tcPr>
          <w:p w:rsidR="00BA76BB" w:rsidRPr="00272E26" w:rsidRDefault="00BA76BB"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Kjósi útgefandi að láta fylgja nýja afkomuspá eða nýja afkomuáætlun, eða áður birta afkomuspá eða -áætlun í samræmi við lið 7.1 skal afkomuspáin eða -áætlunin vera skýr og ótvíræð og hafa að geyma yfirlýsingu sem tilgreinir helstu forsendur sem útgefandinn byggir spá eða áætlun sína á.</w:t>
            </w:r>
          </w:p>
          <w:p w:rsidR="00BA76BB" w:rsidRPr="00272E26" w:rsidRDefault="00BA76BB"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Spáin eða áætlunin skal fylgja eftirfarandi meginreglum:</w:t>
            </w:r>
          </w:p>
          <w:p w:rsidR="00BA76BB" w:rsidRPr="00272E26" w:rsidRDefault="00BA76BB" w:rsidP="00BA76BB">
            <w:pPr>
              <w:pStyle w:val="Tflutexti"/>
              <w:spacing w:after="0"/>
              <w:ind w:left="323" w:hanging="323"/>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gera skal skýran greinarmun á forsendum um þætti sem þeir sem sitja í stjórn, framkvæmdastjórn eða eftirlitsstjórn útgefandans geta haft áhrif á og forsendum sem liggja alveg utan áhrifasviðs þeirra sem sitja í stjórn, framkvæmdastjórn eða eftirlitsstjórn útgefanda,</w:t>
            </w:r>
          </w:p>
          <w:p w:rsidR="00BA76BB" w:rsidRPr="00272E26" w:rsidRDefault="00BA76BB" w:rsidP="00BA76BB">
            <w:pPr>
              <w:pStyle w:val="Tflutexti"/>
              <w:spacing w:before="0" w:after="0"/>
              <w:ind w:left="323" w:hanging="323"/>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forsendurnar skulu vera raunhæfar, auðskiljanlegar fjárfestum, sértækar og nákvæmar og mega ekki tengjast almennri nákvæmni afkomuáætlana sem liggja til grundvallar spánni,</w:t>
            </w:r>
          </w:p>
          <w:p w:rsidR="00BA76BB" w:rsidRPr="00272E26" w:rsidRDefault="00BA76BB" w:rsidP="00BA76BB">
            <w:pPr>
              <w:pStyle w:val="Tflutexti"/>
              <w:spacing w:before="0"/>
              <w:ind w:left="323" w:hanging="323"/>
              <w:rPr>
                <w:rFonts w:ascii="Times New Roman" w:hAnsi="Times New Roman" w:cs="Times New Roman"/>
                <w:sz w:val="18"/>
                <w:szCs w:val="18"/>
              </w:rPr>
            </w:pPr>
            <w:r w:rsidRPr="00272E26">
              <w:rPr>
                <w:rFonts w:ascii="Times New Roman" w:hAnsi="Times New Roman" w:cs="Times New Roman"/>
                <w:sz w:val="18"/>
                <w:szCs w:val="18"/>
              </w:rPr>
              <w:t>c)</w:t>
            </w:r>
            <w:r w:rsidRPr="00272E26">
              <w:rPr>
                <w:rFonts w:ascii="Times New Roman" w:hAnsi="Times New Roman" w:cs="Times New Roman"/>
                <w:sz w:val="18"/>
                <w:szCs w:val="18"/>
              </w:rPr>
              <w:tab/>
              <w:t>sé um spá að ræða skulu forsendurnar vekja athygli fjárfesta á þeim óvissuþáttum sem gætu breytt útkomu spárinnar verulega.</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960745"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7.3.</w:t>
            </w:r>
          </w:p>
        </w:tc>
        <w:tc>
          <w:tcPr>
            <w:tcW w:w="7224" w:type="dxa"/>
            <w:tcBorders>
              <w:right w:val="nil"/>
            </w:tcBorders>
          </w:tcPr>
          <w:p w:rsidR="00960745" w:rsidRPr="00272E26" w:rsidRDefault="00960745" w:rsidP="00960745">
            <w:pPr>
              <w:pStyle w:val="Tflutexti"/>
              <w:rPr>
                <w:rFonts w:ascii="Times New Roman" w:hAnsi="Times New Roman" w:cs="Times New Roman"/>
                <w:sz w:val="18"/>
                <w:szCs w:val="18"/>
              </w:rPr>
            </w:pPr>
            <w:r w:rsidRPr="00272E26">
              <w:rPr>
                <w:rFonts w:ascii="Times New Roman" w:hAnsi="Times New Roman" w:cs="Times New Roman"/>
                <w:sz w:val="18"/>
                <w:szCs w:val="18"/>
              </w:rPr>
              <w:t>Lýsingin skal hafa að geyma yfirlýsingu um að afkomuspáin eða -áætlunin hafi verið unnin á grundvelli sem er bæði:</w:t>
            </w:r>
          </w:p>
          <w:p w:rsidR="00960745" w:rsidRPr="00272E26" w:rsidRDefault="00960745" w:rsidP="00960745">
            <w:pPr>
              <w:pStyle w:val="Tflutexti"/>
              <w:spacing w:after="0"/>
              <w:ind w:left="324" w:hanging="324"/>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samanburðarhæfur við sögulegu fjárhagsupplýsingarnar,</w:t>
            </w:r>
          </w:p>
          <w:p w:rsidR="00BA76BB" w:rsidRPr="00272E26" w:rsidRDefault="00960745" w:rsidP="00960745">
            <w:pPr>
              <w:pStyle w:val="Tflutexti"/>
              <w:spacing w:before="0"/>
              <w:ind w:left="324" w:hanging="324"/>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í samræmi við reikningsskilaaðferðir útgefanda.</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0B4F48"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8. ÞÁTTUR</w:t>
            </w:r>
          </w:p>
        </w:tc>
        <w:tc>
          <w:tcPr>
            <w:tcW w:w="7224" w:type="dxa"/>
            <w:tcBorders>
              <w:right w:val="nil"/>
            </w:tcBorders>
          </w:tcPr>
          <w:p w:rsidR="00BA76BB" w:rsidRPr="00272E26" w:rsidRDefault="000B4F48"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STJÓRN, FRAMKVÆMDASTJÓRN OG EFTIRLITSSTJÓRN OG ÆÐSTU STJÓRNENDUR</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0B4F48"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8.1.</w:t>
            </w:r>
          </w:p>
        </w:tc>
        <w:tc>
          <w:tcPr>
            <w:tcW w:w="7224" w:type="dxa"/>
            <w:tcBorders>
              <w:right w:val="nil"/>
            </w:tcBorders>
          </w:tcPr>
          <w:p w:rsidR="000B4F48" w:rsidRPr="00272E26" w:rsidRDefault="000B4F48" w:rsidP="000B4F48">
            <w:pPr>
              <w:pStyle w:val="Tflutexti"/>
              <w:rPr>
                <w:rFonts w:ascii="Times New Roman" w:hAnsi="Times New Roman" w:cs="Times New Roman"/>
                <w:sz w:val="18"/>
                <w:szCs w:val="18"/>
              </w:rPr>
            </w:pPr>
            <w:r w:rsidRPr="00272E26">
              <w:rPr>
                <w:rFonts w:ascii="Times New Roman" w:hAnsi="Times New Roman" w:cs="Times New Roman"/>
                <w:sz w:val="18"/>
                <w:szCs w:val="18"/>
              </w:rPr>
              <w:t>Nöfn, aðsetur og hlutverk eftirfarandi aðila hjá útgefanda og helstu störf þeirra utan þess útgefanda ef þau skipta máli gagnvart honum:</w:t>
            </w:r>
          </w:p>
          <w:p w:rsidR="000B4F48" w:rsidRPr="00272E26" w:rsidRDefault="000B4F48" w:rsidP="000B4F48">
            <w:pPr>
              <w:pStyle w:val="Tflutexti"/>
              <w:spacing w:after="0"/>
              <w:ind w:left="323" w:hanging="323"/>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þeirra sem sitja í stjórn, framkvæmdastjórn eða eftirlitsstjórn,</w:t>
            </w:r>
          </w:p>
          <w:p w:rsidR="000B4F48" w:rsidRPr="00272E26" w:rsidRDefault="000B4F48" w:rsidP="000B4F48">
            <w:pPr>
              <w:pStyle w:val="Tflutexti"/>
              <w:spacing w:before="0" w:after="0"/>
              <w:ind w:left="323" w:hanging="323"/>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sameigenda með ótakmarkaða ábyrgð, sé um að ræða samlagsfélag með hlutafé,</w:t>
            </w:r>
          </w:p>
          <w:p w:rsidR="000B4F48" w:rsidRPr="00272E26" w:rsidRDefault="000B4F48" w:rsidP="000B4F48">
            <w:pPr>
              <w:pStyle w:val="Tflutexti"/>
              <w:spacing w:before="0" w:after="0"/>
              <w:ind w:left="323" w:hanging="323"/>
              <w:rPr>
                <w:rFonts w:ascii="Times New Roman" w:hAnsi="Times New Roman" w:cs="Times New Roman"/>
                <w:sz w:val="18"/>
                <w:szCs w:val="18"/>
              </w:rPr>
            </w:pPr>
            <w:r w:rsidRPr="00272E26">
              <w:rPr>
                <w:rFonts w:ascii="Times New Roman" w:hAnsi="Times New Roman" w:cs="Times New Roman"/>
                <w:sz w:val="18"/>
                <w:szCs w:val="18"/>
              </w:rPr>
              <w:t>c)</w:t>
            </w:r>
            <w:r w:rsidRPr="00272E26">
              <w:rPr>
                <w:rFonts w:ascii="Times New Roman" w:hAnsi="Times New Roman" w:cs="Times New Roman"/>
                <w:sz w:val="18"/>
                <w:szCs w:val="18"/>
              </w:rPr>
              <w:tab/>
              <w:t>stofnenda hafi útgefandi starfað skemur en í fimm ár,</w:t>
            </w:r>
          </w:p>
          <w:p w:rsidR="000B4F48" w:rsidRPr="00272E26" w:rsidRDefault="000B4F48" w:rsidP="000B4F48">
            <w:pPr>
              <w:pStyle w:val="Tflutexti"/>
              <w:spacing w:before="0"/>
              <w:ind w:left="323" w:hanging="323"/>
              <w:rPr>
                <w:rFonts w:ascii="Times New Roman" w:hAnsi="Times New Roman" w:cs="Times New Roman"/>
                <w:sz w:val="18"/>
                <w:szCs w:val="18"/>
              </w:rPr>
            </w:pPr>
            <w:r w:rsidRPr="00272E26">
              <w:rPr>
                <w:rFonts w:ascii="Times New Roman" w:hAnsi="Times New Roman" w:cs="Times New Roman"/>
                <w:sz w:val="18"/>
                <w:szCs w:val="18"/>
              </w:rPr>
              <w:t>d)</w:t>
            </w:r>
            <w:r w:rsidRPr="00272E26">
              <w:rPr>
                <w:rFonts w:ascii="Times New Roman" w:hAnsi="Times New Roman" w:cs="Times New Roman"/>
                <w:sz w:val="18"/>
                <w:szCs w:val="18"/>
              </w:rPr>
              <w:tab/>
              <w:t>æðstu stjórnenda sem skipta máli fyrir það að sýna fram á að útgefandi búi yfir viðeigandi sérþekkingu og reynslu til stjórnunar á rekstri sínum.</w:t>
            </w:r>
          </w:p>
          <w:p w:rsidR="000B4F48" w:rsidRPr="00272E26" w:rsidRDefault="000B4F48" w:rsidP="000B4F48">
            <w:pPr>
              <w:pStyle w:val="Tflutexti"/>
              <w:rPr>
                <w:rFonts w:ascii="Times New Roman" w:hAnsi="Times New Roman" w:cs="Times New Roman"/>
                <w:sz w:val="18"/>
                <w:szCs w:val="18"/>
              </w:rPr>
            </w:pPr>
            <w:r w:rsidRPr="00272E26">
              <w:rPr>
                <w:rFonts w:ascii="Times New Roman" w:hAnsi="Times New Roman" w:cs="Times New Roman"/>
                <w:sz w:val="18"/>
                <w:szCs w:val="18"/>
              </w:rPr>
              <w:t>Upplýsingar um eðli allra fjölskyldutengsla milli þeirra aðila sem um getur í a- til d-lið.</w:t>
            </w:r>
          </w:p>
          <w:p w:rsidR="000B4F48" w:rsidRPr="00272E26" w:rsidRDefault="000B4F48" w:rsidP="000B4F48">
            <w:pPr>
              <w:pStyle w:val="Tflutexti"/>
              <w:rPr>
                <w:rFonts w:ascii="Times New Roman" w:hAnsi="Times New Roman" w:cs="Times New Roman"/>
                <w:sz w:val="18"/>
                <w:szCs w:val="18"/>
              </w:rPr>
            </w:pPr>
            <w:r w:rsidRPr="00272E26">
              <w:rPr>
                <w:rFonts w:ascii="Times New Roman" w:hAnsi="Times New Roman" w:cs="Times New Roman"/>
                <w:sz w:val="18"/>
                <w:szCs w:val="18"/>
              </w:rPr>
              <w:t>Að því marki sem ekki hefur þegar verið upplýst og þegar um er að ræða nýja aðila í stjórn, framkvæmdastjórn eða eftirlitsstjórn útgefanda (frá dagsetningu nýjustu endurskoðuðu, árlegu reikningsskila) og fyrir hvern aðila sem um getur í b- og d-lið fyrstu undirgreinar skulu eftirfarandi upplýsingar koma fram:</w:t>
            </w:r>
          </w:p>
          <w:p w:rsidR="000B4F48" w:rsidRPr="00272E26" w:rsidRDefault="000B4F48" w:rsidP="000B4F48">
            <w:pPr>
              <w:pStyle w:val="Tflutexti"/>
              <w:spacing w:after="0"/>
              <w:ind w:left="323" w:hanging="323"/>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heiti allra fyrirtækja og sameignar-/samlagsfélaga þar sem viðkomandi einstaklingur hefur síðustu fimm árin setið í stjórn, framkvæmdastjórn eða eftirlitsstjórn eða verið sameigandi, og hvort einstaklingurinn sé enn í stjórn, framkvæmdastjórn eða eftirlitsstjórn eða sameigandi. Ekki er nauðsynlegt að telja upp öll dótturfyrirtæki útgefanda þar sem viðkomandi einstaklingur situr einnig í stjórn, framkvæmdastjórn eða eftirlitsstjórn,</w:t>
            </w:r>
          </w:p>
          <w:p w:rsidR="000B4F48" w:rsidRPr="00272E26" w:rsidRDefault="000B4F48" w:rsidP="000B4F48">
            <w:pPr>
              <w:pStyle w:val="Tflutexti"/>
              <w:spacing w:before="0" w:after="0"/>
              <w:ind w:left="323" w:hanging="323"/>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upplýsingar um allar sakfellingar vegna svikabrota a.m.k. næstliðin fimm ár.</w:t>
            </w:r>
          </w:p>
          <w:p w:rsidR="000B4F48" w:rsidRPr="00272E26" w:rsidRDefault="000B4F48" w:rsidP="000B4F48">
            <w:pPr>
              <w:pStyle w:val="Tflutexti"/>
              <w:spacing w:before="0"/>
              <w:ind w:left="323" w:hanging="323"/>
              <w:rPr>
                <w:rFonts w:ascii="Times New Roman" w:hAnsi="Times New Roman" w:cs="Times New Roman"/>
                <w:sz w:val="18"/>
                <w:szCs w:val="18"/>
              </w:rPr>
            </w:pPr>
            <w:r w:rsidRPr="00272E26">
              <w:rPr>
                <w:rFonts w:ascii="Times New Roman" w:hAnsi="Times New Roman" w:cs="Times New Roman"/>
                <w:sz w:val="18"/>
                <w:szCs w:val="18"/>
              </w:rPr>
              <w:t>c)</w:t>
            </w:r>
            <w:r w:rsidRPr="00272E26">
              <w:rPr>
                <w:rFonts w:ascii="Times New Roman" w:hAnsi="Times New Roman" w:cs="Times New Roman"/>
                <w:sz w:val="18"/>
                <w:szCs w:val="18"/>
              </w:rPr>
              <w:tab/>
              <w:t>upplýsingar um gjaldþrot, skiptameðferðir, félagsslit eða félög sem sett eru undir sérstaka stjórn í tengslum við þá einstaklinga sem lýst er í a- og d-lið fyrstu undirgreinar sem gegndu einu eða fleiri af þessum hlutverkum sínum á a.m.k. næstliðnum fimm árum,</w:t>
            </w:r>
          </w:p>
          <w:p w:rsidR="000B4F48" w:rsidRPr="00272E26" w:rsidRDefault="000B4F48" w:rsidP="000B4F48">
            <w:pPr>
              <w:pStyle w:val="Tflutexti"/>
              <w:spacing w:before="240"/>
              <w:ind w:left="323" w:hanging="323"/>
              <w:rPr>
                <w:rFonts w:ascii="Times New Roman" w:hAnsi="Times New Roman" w:cs="Times New Roman"/>
                <w:sz w:val="18"/>
                <w:szCs w:val="18"/>
              </w:rPr>
            </w:pPr>
            <w:r w:rsidRPr="00272E26">
              <w:rPr>
                <w:rFonts w:ascii="Times New Roman" w:hAnsi="Times New Roman" w:cs="Times New Roman"/>
                <w:sz w:val="18"/>
                <w:szCs w:val="18"/>
              </w:rPr>
              <w:t>d)</w:t>
            </w:r>
            <w:r w:rsidRPr="00272E26">
              <w:rPr>
                <w:rFonts w:ascii="Times New Roman" w:hAnsi="Times New Roman" w:cs="Times New Roman"/>
                <w:sz w:val="18"/>
                <w:szCs w:val="18"/>
              </w:rPr>
              <w:tab/>
              <w:t>upplýsingar um ákærur og/eða viðurlög gagnvart slíkum einstaklingum af hálfu lögboðinna yfirvalda eða eftirlitsyfirvalda (þ.m.t. tilnefndra fagaðila) og hvort dómstóll hafi nokkru sinni dæmt slíkan einstakling vanhæfan til að starfa í stjórn, framkvæmdastjórn eða eftirlitsstjórn útgefanda eða til að stjórna eða hafa með höndum verkefni hjá einhverjum útgefanda á a.m.k. næstliðnum fimm árum.</w:t>
            </w:r>
          </w:p>
          <w:p w:rsidR="00BA76BB" w:rsidRPr="00272E26" w:rsidRDefault="000B4F48" w:rsidP="000B4F48">
            <w:pPr>
              <w:pStyle w:val="Tflutexti"/>
              <w:rPr>
                <w:rFonts w:ascii="Times New Roman" w:hAnsi="Times New Roman" w:cs="Times New Roman"/>
                <w:sz w:val="18"/>
                <w:szCs w:val="18"/>
              </w:rPr>
            </w:pPr>
            <w:r w:rsidRPr="00272E26">
              <w:rPr>
                <w:rFonts w:ascii="Times New Roman" w:hAnsi="Times New Roman" w:cs="Times New Roman"/>
                <w:sz w:val="18"/>
                <w:szCs w:val="18"/>
              </w:rPr>
              <w:t>Þurfi ekki að birta neinar slíkar upplýsingar skal lýsa því yfir.</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0B4F48"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8.2.</w:t>
            </w:r>
          </w:p>
        </w:tc>
        <w:tc>
          <w:tcPr>
            <w:tcW w:w="7224" w:type="dxa"/>
            <w:tcBorders>
              <w:right w:val="nil"/>
            </w:tcBorders>
          </w:tcPr>
          <w:p w:rsidR="000B4F48" w:rsidRPr="00272E26" w:rsidRDefault="000B4F48" w:rsidP="000B4F48">
            <w:pPr>
              <w:pStyle w:val="Tflutexti"/>
              <w:rPr>
                <w:rFonts w:ascii="Times New Roman" w:hAnsi="Times New Roman" w:cs="Times New Roman"/>
                <w:sz w:val="18"/>
                <w:szCs w:val="18"/>
              </w:rPr>
            </w:pPr>
            <w:r w:rsidRPr="00272E26">
              <w:rPr>
                <w:rFonts w:ascii="Times New Roman" w:hAnsi="Times New Roman" w:cs="Times New Roman"/>
                <w:sz w:val="18"/>
                <w:szCs w:val="18"/>
              </w:rPr>
              <w:t>Greina skal skilmerkilega frá hugsanlegum hagsmunaárekstrum milli skyldustarfa sem þeir aðilar, sem vísað er til í lið 8.1, sinna fyrir hönd útgefanda og persónulegra hagsmuna þeirra og/eða annarra skyldustarfa þeirra. Ef ekki er um að ræða neina slíka árekstra skal lýsa því yfir.</w:t>
            </w:r>
          </w:p>
          <w:p w:rsidR="000B4F48" w:rsidRPr="00272E26" w:rsidRDefault="000B4F48" w:rsidP="000B4F48">
            <w:pPr>
              <w:pStyle w:val="Tflutexti"/>
              <w:rPr>
                <w:rFonts w:ascii="Times New Roman" w:hAnsi="Times New Roman" w:cs="Times New Roman"/>
                <w:sz w:val="18"/>
                <w:szCs w:val="18"/>
              </w:rPr>
            </w:pPr>
            <w:r w:rsidRPr="00272E26">
              <w:rPr>
                <w:rFonts w:ascii="Times New Roman" w:hAnsi="Times New Roman" w:cs="Times New Roman"/>
                <w:sz w:val="18"/>
                <w:szCs w:val="18"/>
              </w:rPr>
              <w:t>Greina skal frá hvers kyns fyrirkomulagi eða samkomulagi við stærstu hluthafa, viðskiptavini, birgja eða aðra um það hverjir þeirra aðila sem um getur í lið 8.1 eru valdir til að sitja í stjórn, framkvæmdastjórn eða eftirlitsstjórn eða til að vera meðal æðstu stjórnenda.</w:t>
            </w:r>
          </w:p>
          <w:p w:rsidR="00BA76BB" w:rsidRPr="00272E26" w:rsidRDefault="000B4F48" w:rsidP="000B4F48">
            <w:pPr>
              <w:pStyle w:val="Tflutexti"/>
              <w:rPr>
                <w:rFonts w:ascii="Times New Roman" w:hAnsi="Times New Roman" w:cs="Times New Roman"/>
                <w:sz w:val="18"/>
                <w:szCs w:val="18"/>
              </w:rPr>
            </w:pPr>
            <w:r w:rsidRPr="00272E26">
              <w:rPr>
                <w:rFonts w:ascii="Times New Roman" w:hAnsi="Times New Roman" w:cs="Times New Roman"/>
                <w:sz w:val="18"/>
                <w:szCs w:val="18"/>
              </w:rPr>
              <w:t>Greina skal frá öllum þeim takmörkunum sem þeir aðilar sem um getur í lið 8.1 samþykkja á ráðstöfun eignarhluta sinna í verðbréfum útgefanda innan tiltekins tímabils.</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0B4F48"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9. ÞÁTTUR</w:t>
            </w:r>
          </w:p>
        </w:tc>
        <w:tc>
          <w:tcPr>
            <w:tcW w:w="7224" w:type="dxa"/>
            <w:tcBorders>
              <w:right w:val="nil"/>
            </w:tcBorders>
          </w:tcPr>
          <w:p w:rsidR="00BA76BB" w:rsidRPr="00272E26" w:rsidRDefault="000B4F48"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STÆRSTU HLUTHAFAR</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0B4F48"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9.1.</w:t>
            </w:r>
          </w:p>
        </w:tc>
        <w:tc>
          <w:tcPr>
            <w:tcW w:w="7224" w:type="dxa"/>
            <w:tcBorders>
              <w:right w:val="nil"/>
            </w:tcBorders>
          </w:tcPr>
          <w:p w:rsidR="00BA76BB" w:rsidRPr="00272E26" w:rsidRDefault="000B4F48"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Að því marki sem útgefanda er kunnugt um skal greina frá nöfnum allra þeirra aðila, að undanskildum þeim sem sæti eiga í stjórn, framkvæmdastjórn eða eftirlitsstjórn, sem eiga beina eða óbeina hlutdeild, sem er tilkynningaskyld samkvæmt landslögum útgefanda, í hlutafé eða atkvæðisrétti útgefanda, ásamt fjárhæð hlutdeildar hvers slíks aðila á dagsetningu útgefandalýsingar eða geta þess að ekki sé um slíkt að ræða.</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0B4F48"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9.2.</w:t>
            </w:r>
          </w:p>
        </w:tc>
        <w:tc>
          <w:tcPr>
            <w:tcW w:w="7224" w:type="dxa"/>
            <w:tcBorders>
              <w:right w:val="nil"/>
            </w:tcBorders>
          </w:tcPr>
          <w:p w:rsidR="00BA76BB" w:rsidRPr="00272E26" w:rsidRDefault="000B4F48"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Hvort helstu hluthafar útgefanda hafi mismunandi atkvæðisrétt eða geta þess að enginn slíkur atkvæðisréttur sé fyrir hendi.</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0B4F48"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9.3.</w:t>
            </w:r>
          </w:p>
        </w:tc>
        <w:tc>
          <w:tcPr>
            <w:tcW w:w="7224" w:type="dxa"/>
            <w:tcBorders>
              <w:right w:val="nil"/>
            </w:tcBorders>
          </w:tcPr>
          <w:p w:rsidR="00BA76BB" w:rsidRPr="00272E26" w:rsidRDefault="000B4F48"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Að því marki sem útgefanda er kunnugt um skal greina frá því hvort útgefandi sé beint eða óbeint í eigu eða undir yfirráðum einhvers aðila og hver sá aðili er og lýsa eðli slíkra yfirráða og þeim ráðstöfunum sem gerðar eru til að tryggja að slík yfirráð séu ekki misnotuð.</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0B4F48"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9.4.</w:t>
            </w:r>
          </w:p>
        </w:tc>
        <w:tc>
          <w:tcPr>
            <w:tcW w:w="7224" w:type="dxa"/>
            <w:tcBorders>
              <w:right w:val="nil"/>
            </w:tcBorders>
          </w:tcPr>
          <w:p w:rsidR="00BA76BB" w:rsidRPr="00272E26" w:rsidRDefault="000B4F48"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Lýsa skal hvers kyns fyrirkomulagi, sem útgefanda er kunnugt um að geti síðar haft í för með sér breytingar á yfirráðum útgefanda.</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0B4F48"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10. ÞÁTTUR</w:t>
            </w:r>
          </w:p>
        </w:tc>
        <w:tc>
          <w:tcPr>
            <w:tcW w:w="7224" w:type="dxa"/>
            <w:tcBorders>
              <w:right w:val="nil"/>
            </w:tcBorders>
          </w:tcPr>
          <w:p w:rsidR="00BA76BB" w:rsidRPr="00272E26" w:rsidRDefault="000B4F48"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VIÐSKIPTI TENGDRA AÐILA</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0B4F48"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10.1.</w:t>
            </w:r>
          </w:p>
        </w:tc>
        <w:tc>
          <w:tcPr>
            <w:tcW w:w="7224" w:type="dxa"/>
            <w:tcBorders>
              <w:right w:val="nil"/>
            </w:tcBorders>
          </w:tcPr>
          <w:p w:rsidR="000B4F48" w:rsidRPr="00272E26" w:rsidRDefault="000B4F48" w:rsidP="000B4F48">
            <w:pPr>
              <w:pStyle w:val="Tflutexti"/>
              <w:rPr>
                <w:rFonts w:ascii="Times New Roman" w:hAnsi="Times New Roman" w:cs="Times New Roman"/>
                <w:sz w:val="18"/>
                <w:szCs w:val="18"/>
              </w:rPr>
            </w:pPr>
            <w:r w:rsidRPr="00272E26">
              <w:rPr>
                <w:rFonts w:ascii="Times New Roman" w:hAnsi="Times New Roman" w:cs="Times New Roman"/>
                <w:sz w:val="18"/>
                <w:szCs w:val="18"/>
              </w:rPr>
              <w:t>Upplýsingar um viðskipti tengdra aðila (sem í þessu sambandi eru þau viðskipti sem tilgreind eru í stöðlum sem samþykktir eru í samræmi við reglugerð (EB) nr. 1606/2002) sem útgefandinn hefur átt í frá dagsetningu nýjustu reikningsskila, skulu veittar í samræmi við viðeigandi staðal sem samþykktur er samkvæmt reglugerð (EB) nr. 1606/2002, ef við á.</w:t>
            </w:r>
          </w:p>
          <w:p w:rsidR="000B4F48" w:rsidRPr="00272E26" w:rsidRDefault="000B4F48" w:rsidP="000B4F48">
            <w:pPr>
              <w:pStyle w:val="Tflutexti"/>
              <w:rPr>
                <w:rFonts w:ascii="Times New Roman" w:hAnsi="Times New Roman" w:cs="Times New Roman"/>
                <w:sz w:val="18"/>
                <w:szCs w:val="18"/>
              </w:rPr>
            </w:pPr>
            <w:r w:rsidRPr="00272E26">
              <w:rPr>
                <w:rFonts w:ascii="Times New Roman" w:hAnsi="Times New Roman" w:cs="Times New Roman"/>
                <w:sz w:val="18"/>
                <w:szCs w:val="18"/>
              </w:rPr>
              <w:t>Eigi slíkir staðlar ekki við um útgefandann skal tilgreina eftirfarandi upplýsingar:</w:t>
            </w:r>
          </w:p>
          <w:p w:rsidR="000B4F48" w:rsidRPr="00272E26" w:rsidRDefault="000B4F48" w:rsidP="000B4F48">
            <w:pPr>
              <w:pStyle w:val="Tflutexti"/>
              <w:spacing w:after="0"/>
              <w:ind w:left="323" w:hanging="323"/>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eðli og umfang hvers kyns viðskipta sem, ein og sér eða í heild sinni, skipta máli fyrir útgefanda. Ef slík viðskipti tengdra aðila fara ekki fram eins og um viðskipti milli ótengdra aðila væri að ræða skal gefa skýringu á því. Sé um að ræða útistandandi lán, þ.m.t. hvers kyns ábyrgðir, skal tilgreina útistandandi fjárhæð,</w:t>
            </w:r>
          </w:p>
          <w:p w:rsidR="00BA76BB" w:rsidRPr="00272E26" w:rsidRDefault="000B4F48" w:rsidP="000B4F48">
            <w:pPr>
              <w:pStyle w:val="Tflutexti"/>
              <w:spacing w:before="0"/>
              <w:ind w:left="323" w:hanging="323"/>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þá fjárhæð eða prósentu sem viðskipti tengdra aðila nema af veltu útgefanda.</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C3102E"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11. ÞÁTTUR</w:t>
            </w:r>
          </w:p>
        </w:tc>
        <w:tc>
          <w:tcPr>
            <w:tcW w:w="7224" w:type="dxa"/>
            <w:tcBorders>
              <w:right w:val="nil"/>
            </w:tcBorders>
          </w:tcPr>
          <w:p w:rsidR="00BA76BB" w:rsidRPr="00272E26" w:rsidRDefault="00C3102E" w:rsidP="00BA76BB">
            <w:pPr>
              <w:pStyle w:val="Tflutexti"/>
              <w:rPr>
                <w:rFonts w:ascii="Times New Roman" w:hAnsi="Times New Roman" w:cs="Times New Roman"/>
                <w:sz w:val="18"/>
                <w:szCs w:val="18"/>
              </w:rPr>
            </w:pPr>
            <w:r w:rsidRPr="00272E26">
              <w:rPr>
                <w:rFonts w:ascii="Times New Roman" w:hAnsi="Times New Roman" w:cs="Times New Roman"/>
                <w:sz w:val="18"/>
                <w:szCs w:val="18"/>
              </w:rPr>
              <w:t>FJÁRHAGSUPPLÝSINGAR UM EIGNIR OG SKULDIR ÚTGEFANDA, FJÁRHAGSSTÖÐU HANS OG HAGNAÐ OG TAP</w:t>
            </w:r>
          </w:p>
        </w:tc>
      </w:tr>
      <w:tr w:rsidR="00BA76BB" w:rsidRPr="00272E26" w:rsidTr="00272E26">
        <w:tc>
          <w:tcPr>
            <w:tcW w:w="845" w:type="dxa"/>
            <w:tcBorders>
              <w:left w:val="nil"/>
            </w:tcBorders>
          </w:tcPr>
          <w:p w:rsidR="00BA76BB" w:rsidRPr="00272E26" w:rsidRDefault="00BA76BB" w:rsidP="0077478B">
            <w:pPr>
              <w:pStyle w:val="Meginml"/>
              <w:rPr>
                <w:rFonts w:ascii="Times New Roman" w:hAnsi="Times New Roman" w:cs="Times New Roman"/>
                <w:sz w:val="18"/>
                <w:szCs w:val="18"/>
              </w:rPr>
            </w:pPr>
          </w:p>
        </w:tc>
        <w:tc>
          <w:tcPr>
            <w:tcW w:w="1282" w:type="dxa"/>
          </w:tcPr>
          <w:p w:rsidR="00BA76BB" w:rsidRPr="00272E26" w:rsidRDefault="00C3102E"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11.1.</w:t>
            </w:r>
          </w:p>
        </w:tc>
        <w:tc>
          <w:tcPr>
            <w:tcW w:w="7224" w:type="dxa"/>
            <w:tcBorders>
              <w:right w:val="nil"/>
            </w:tcBorders>
          </w:tcPr>
          <w:p w:rsidR="00C3102E" w:rsidRPr="00272E26" w:rsidRDefault="00C3102E" w:rsidP="00C3102E">
            <w:pPr>
              <w:pStyle w:val="Tflutexti"/>
              <w:rPr>
                <w:rFonts w:ascii="Times New Roman" w:hAnsi="Times New Roman" w:cs="Times New Roman"/>
                <w:sz w:val="18"/>
                <w:szCs w:val="18"/>
              </w:rPr>
            </w:pPr>
            <w:r w:rsidRPr="00272E26">
              <w:rPr>
                <w:rFonts w:ascii="Times New Roman" w:hAnsi="Times New Roman" w:cs="Times New Roman"/>
                <w:sz w:val="18"/>
                <w:szCs w:val="18"/>
              </w:rPr>
              <w:t>Reikningsskil</w:t>
            </w:r>
          </w:p>
          <w:p w:rsidR="00C3102E" w:rsidRPr="00272E26" w:rsidRDefault="00C3102E" w:rsidP="00C3102E">
            <w:pPr>
              <w:pStyle w:val="Tflutexti"/>
              <w:rPr>
                <w:rFonts w:ascii="Times New Roman" w:hAnsi="Times New Roman" w:cs="Times New Roman"/>
                <w:sz w:val="18"/>
                <w:szCs w:val="18"/>
              </w:rPr>
            </w:pPr>
            <w:r w:rsidRPr="00272E26">
              <w:rPr>
                <w:rFonts w:ascii="Times New Roman" w:hAnsi="Times New Roman" w:cs="Times New Roman"/>
                <w:sz w:val="18"/>
                <w:szCs w:val="18"/>
              </w:rPr>
              <w:t>Birta skal reikningsskil (árleg og hálfsársreikningsskil) sem ná yfir næstliðna tólf mánuði fyrir staðfestingu lýsingarinnar.</w:t>
            </w:r>
          </w:p>
          <w:p w:rsidR="00BA76BB" w:rsidRPr="00272E26" w:rsidRDefault="00C3102E" w:rsidP="00C3102E">
            <w:pPr>
              <w:pStyle w:val="Tflutexti"/>
              <w:rPr>
                <w:rFonts w:ascii="Times New Roman" w:hAnsi="Times New Roman" w:cs="Times New Roman"/>
                <w:sz w:val="18"/>
                <w:szCs w:val="18"/>
              </w:rPr>
            </w:pPr>
            <w:r w:rsidRPr="00272E26">
              <w:rPr>
                <w:rFonts w:ascii="Times New Roman" w:hAnsi="Times New Roman" w:cs="Times New Roman"/>
                <w:sz w:val="18"/>
                <w:szCs w:val="18"/>
              </w:rPr>
              <w:t>Hafi bæði árleg reikningsskil og hálfsársreikningsskil verið birt er aðeins gerð krafa um árlegu skilin ef þau eru dagsett síðar en hálfsársreikningsskilin.</w:t>
            </w:r>
          </w:p>
        </w:tc>
      </w:tr>
      <w:tr w:rsidR="008251E6" w:rsidRPr="00272E26" w:rsidTr="00272E26">
        <w:tc>
          <w:tcPr>
            <w:tcW w:w="845" w:type="dxa"/>
            <w:tcBorders>
              <w:left w:val="nil"/>
            </w:tcBorders>
          </w:tcPr>
          <w:p w:rsidR="008251E6" w:rsidRPr="00272E26" w:rsidRDefault="008251E6" w:rsidP="0077478B">
            <w:pPr>
              <w:pStyle w:val="Meginml"/>
              <w:rPr>
                <w:rFonts w:ascii="Times New Roman" w:hAnsi="Times New Roman" w:cs="Times New Roman"/>
                <w:sz w:val="18"/>
                <w:szCs w:val="18"/>
              </w:rPr>
            </w:pPr>
          </w:p>
        </w:tc>
        <w:tc>
          <w:tcPr>
            <w:tcW w:w="1282" w:type="dxa"/>
          </w:tcPr>
          <w:p w:rsidR="008251E6" w:rsidRPr="00272E26" w:rsidRDefault="008251E6"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11.2.</w:t>
            </w:r>
          </w:p>
        </w:tc>
        <w:tc>
          <w:tcPr>
            <w:tcW w:w="7224" w:type="dxa"/>
            <w:tcBorders>
              <w:right w:val="nil"/>
            </w:tcBorders>
          </w:tcPr>
          <w:p w:rsidR="008251E6" w:rsidRPr="00272E26" w:rsidRDefault="008251E6" w:rsidP="00C3102E">
            <w:pPr>
              <w:pStyle w:val="Tflutexti"/>
              <w:rPr>
                <w:rFonts w:ascii="Times New Roman" w:hAnsi="Times New Roman" w:cs="Times New Roman"/>
                <w:sz w:val="18"/>
                <w:szCs w:val="18"/>
              </w:rPr>
            </w:pPr>
            <w:r w:rsidRPr="00272E26">
              <w:rPr>
                <w:rFonts w:ascii="Times New Roman" w:hAnsi="Times New Roman" w:cs="Times New Roman"/>
                <w:sz w:val="18"/>
                <w:szCs w:val="18"/>
              </w:rPr>
              <w:t>Endurskoðun árlegra fjárhagsupplýsinga</w:t>
            </w:r>
          </w:p>
        </w:tc>
      </w:tr>
      <w:tr w:rsidR="008251E6" w:rsidRPr="00272E26" w:rsidTr="00272E26">
        <w:tc>
          <w:tcPr>
            <w:tcW w:w="845" w:type="dxa"/>
            <w:tcBorders>
              <w:left w:val="nil"/>
            </w:tcBorders>
          </w:tcPr>
          <w:p w:rsidR="008251E6" w:rsidRPr="00272E26" w:rsidRDefault="008251E6" w:rsidP="0077478B">
            <w:pPr>
              <w:pStyle w:val="Meginml"/>
              <w:rPr>
                <w:rFonts w:ascii="Times New Roman" w:hAnsi="Times New Roman" w:cs="Times New Roman"/>
                <w:sz w:val="18"/>
                <w:szCs w:val="18"/>
              </w:rPr>
            </w:pPr>
            <w:r w:rsidRPr="00272E26">
              <w:rPr>
                <w:rFonts w:ascii="Times New Roman" w:hAnsi="Times New Roman" w:cs="Times New Roman"/>
                <w:sz w:val="18"/>
                <w:szCs w:val="18"/>
              </w:rPr>
              <w:br w:type="page"/>
            </w:r>
          </w:p>
        </w:tc>
        <w:tc>
          <w:tcPr>
            <w:tcW w:w="1282" w:type="dxa"/>
          </w:tcPr>
          <w:p w:rsidR="008251E6" w:rsidRPr="00272E26" w:rsidRDefault="008251E6"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11.2.1.</w:t>
            </w:r>
          </w:p>
        </w:tc>
        <w:tc>
          <w:tcPr>
            <w:tcW w:w="7224" w:type="dxa"/>
            <w:tcBorders>
              <w:right w:val="nil"/>
            </w:tcBorders>
          </w:tcPr>
          <w:p w:rsidR="008251E6" w:rsidRPr="00272E26" w:rsidRDefault="008251E6" w:rsidP="008251E6">
            <w:pPr>
              <w:pStyle w:val="Tflutexti"/>
              <w:rPr>
                <w:rFonts w:ascii="Times New Roman" w:hAnsi="Times New Roman" w:cs="Times New Roman"/>
                <w:sz w:val="18"/>
                <w:szCs w:val="18"/>
              </w:rPr>
            </w:pPr>
            <w:r w:rsidRPr="00272E26">
              <w:rPr>
                <w:rFonts w:ascii="Times New Roman" w:hAnsi="Times New Roman" w:cs="Times New Roman"/>
                <w:sz w:val="18"/>
                <w:szCs w:val="18"/>
              </w:rPr>
              <w:t>Áritun endurskoðanda</w:t>
            </w:r>
          </w:p>
          <w:p w:rsidR="008251E6" w:rsidRPr="00272E26" w:rsidRDefault="008251E6" w:rsidP="008251E6">
            <w:pPr>
              <w:pStyle w:val="Tflutexti"/>
              <w:rPr>
                <w:rFonts w:ascii="Times New Roman" w:hAnsi="Times New Roman" w:cs="Times New Roman"/>
                <w:sz w:val="18"/>
                <w:szCs w:val="18"/>
              </w:rPr>
            </w:pPr>
            <w:r w:rsidRPr="00272E26">
              <w:rPr>
                <w:rFonts w:ascii="Times New Roman" w:hAnsi="Times New Roman" w:cs="Times New Roman"/>
                <w:sz w:val="18"/>
                <w:szCs w:val="18"/>
              </w:rPr>
              <w:t>Árleg reikningsskil verða að vera endurskoðuð með óháðum hætti. Áritun endurskoðanda skal samin í samræmi við tilskipun 2014/56/ESB og reglugerð (ESB) nr. 537/2014.</w:t>
            </w:r>
          </w:p>
          <w:p w:rsidR="008251E6" w:rsidRPr="00272E26" w:rsidRDefault="008251E6" w:rsidP="008251E6">
            <w:pPr>
              <w:pStyle w:val="Tflutexti"/>
              <w:rPr>
                <w:rFonts w:ascii="Times New Roman" w:hAnsi="Times New Roman" w:cs="Times New Roman"/>
                <w:sz w:val="18"/>
                <w:szCs w:val="18"/>
              </w:rPr>
            </w:pPr>
            <w:r w:rsidRPr="00272E26">
              <w:rPr>
                <w:rFonts w:ascii="Times New Roman" w:hAnsi="Times New Roman" w:cs="Times New Roman"/>
                <w:sz w:val="18"/>
                <w:szCs w:val="18"/>
              </w:rPr>
              <w:t>Ef tilskipun 2014/56/ESB og reglugerð (ESB) nr. 537/2014 eiga ekki við:</w:t>
            </w:r>
          </w:p>
          <w:p w:rsidR="008251E6" w:rsidRPr="00272E26" w:rsidRDefault="008251E6" w:rsidP="008251E6">
            <w:pPr>
              <w:pStyle w:val="Tflutexti"/>
              <w:ind w:left="324" w:hanging="324"/>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skulu árlegu reikningsskilin endurskoðuð eða tilkynnt um hvort þau gefi glögga mynd af útgefanda í útgefandalýsingunni í samræmi við endurskoðunarstaðla, sem gilda í viðkomandi aðildarríki, eða sambærilegan staðal. Að öðrum kosti skulu eftirfarandi upplýsingar koma fram í útgefandalýsingunni:</w:t>
            </w:r>
          </w:p>
          <w:p w:rsidR="008251E6" w:rsidRPr="00272E26" w:rsidRDefault="008251E6" w:rsidP="008251E6">
            <w:pPr>
              <w:pStyle w:val="Tflutexti"/>
              <w:spacing w:after="0"/>
              <w:ind w:left="607" w:hanging="284"/>
              <w:rPr>
                <w:rFonts w:ascii="Times New Roman" w:hAnsi="Times New Roman" w:cs="Times New Roman"/>
                <w:sz w:val="18"/>
                <w:szCs w:val="18"/>
              </w:rPr>
            </w:pPr>
            <w:r w:rsidRPr="00272E26">
              <w:rPr>
                <w:rFonts w:ascii="Times New Roman" w:hAnsi="Times New Roman" w:cs="Times New Roman"/>
                <w:sz w:val="18"/>
                <w:szCs w:val="18"/>
              </w:rPr>
              <w:t>i.</w:t>
            </w:r>
            <w:r w:rsidRPr="00272E26">
              <w:rPr>
                <w:rFonts w:ascii="Times New Roman" w:hAnsi="Times New Roman" w:cs="Times New Roman"/>
                <w:sz w:val="18"/>
                <w:szCs w:val="18"/>
              </w:rPr>
              <w:tab/>
              <w:t>áberandi yfirlýsing þar sem tilgreint er hvaða endurskoðunarstöðlum var beitt,</w:t>
            </w:r>
          </w:p>
          <w:p w:rsidR="008251E6" w:rsidRPr="00272E26" w:rsidRDefault="008251E6" w:rsidP="008251E6">
            <w:pPr>
              <w:pStyle w:val="Tflutexti"/>
              <w:spacing w:before="0"/>
              <w:ind w:left="607" w:hanging="284"/>
              <w:rPr>
                <w:rFonts w:ascii="Times New Roman" w:hAnsi="Times New Roman" w:cs="Times New Roman"/>
                <w:sz w:val="18"/>
                <w:szCs w:val="18"/>
              </w:rPr>
            </w:pPr>
            <w:proofErr w:type="spellStart"/>
            <w:r w:rsidRPr="00272E26">
              <w:rPr>
                <w:rFonts w:ascii="Times New Roman" w:hAnsi="Times New Roman" w:cs="Times New Roman"/>
                <w:sz w:val="18"/>
                <w:szCs w:val="18"/>
              </w:rPr>
              <w:t>ii</w:t>
            </w:r>
            <w:proofErr w:type="spellEnd"/>
            <w:r w:rsidRPr="00272E26">
              <w:rPr>
                <w:rFonts w:ascii="Times New Roman" w:hAnsi="Times New Roman" w:cs="Times New Roman"/>
                <w:sz w:val="18"/>
                <w:szCs w:val="18"/>
              </w:rPr>
              <w:t>.</w:t>
            </w:r>
            <w:r w:rsidRPr="00272E26">
              <w:rPr>
                <w:rFonts w:ascii="Times New Roman" w:hAnsi="Times New Roman" w:cs="Times New Roman"/>
                <w:sz w:val="18"/>
                <w:szCs w:val="18"/>
              </w:rPr>
              <w:tab/>
              <w:t>útskýring ef veruleg frávik eru frá alþjóðlegum endurskoðunarstöðlum (ISA),</w:t>
            </w:r>
          </w:p>
          <w:p w:rsidR="008251E6" w:rsidRPr="00272E26" w:rsidRDefault="008251E6" w:rsidP="008251E6">
            <w:pPr>
              <w:pStyle w:val="Tflutexti"/>
              <w:ind w:left="324" w:hanging="324"/>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sé áritun endurskoðanda í árlegum reikningsskilum gerð með fyrirvara, breyttu áliti, án álits eða með ábendingum skal birta slíka fyrirvara, breytingar, áritanir án álits eða ábendingar í heild sinni og tilgreina ástæður þeirra.</w:t>
            </w:r>
          </w:p>
        </w:tc>
      </w:tr>
      <w:tr w:rsidR="008251E6" w:rsidRPr="00272E26" w:rsidTr="00272E26">
        <w:tc>
          <w:tcPr>
            <w:tcW w:w="845" w:type="dxa"/>
            <w:tcBorders>
              <w:left w:val="nil"/>
            </w:tcBorders>
          </w:tcPr>
          <w:p w:rsidR="008251E6" w:rsidRPr="00272E26" w:rsidRDefault="008251E6" w:rsidP="0077478B">
            <w:pPr>
              <w:pStyle w:val="Meginml"/>
              <w:rPr>
                <w:rFonts w:ascii="Times New Roman" w:hAnsi="Times New Roman" w:cs="Times New Roman"/>
                <w:sz w:val="18"/>
                <w:szCs w:val="18"/>
              </w:rPr>
            </w:pPr>
          </w:p>
        </w:tc>
        <w:tc>
          <w:tcPr>
            <w:tcW w:w="1282" w:type="dxa"/>
          </w:tcPr>
          <w:p w:rsidR="008251E6"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Liður 11.2.2.</w:t>
            </w:r>
          </w:p>
        </w:tc>
        <w:tc>
          <w:tcPr>
            <w:tcW w:w="7224" w:type="dxa"/>
            <w:tcBorders>
              <w:right w:val="nil"/>
            </w:tcBorders>
          </w:tcPr>
          <w:p w:rsidR="008251E6" w:rsidRPr="00272E26" w:rsidRDefault="00870A95" w:rsidP="00C3102E">
            <w:pPr>
              <w:pStyle w:val="Tflutexti"/>
              <w:rPr>
                <w:rFonts w:ascii="Times New Roman" w:hAnsi="Times New Roman" w:cs="Times New Roman"/>
                <w:sz w:val="18"/>
                <w:szCs w:val="18"/>
              </w:rPr>
            </w:pPr>
            <w:r w:rsidRPr="00272E26">
              <w:rPr>
                <w:rFonts w:ascii="Times New Roman" w:hAnsi="Times New Roman" w:cs="Times New Roman"/>
                <w:sz w:val="18"/>
                <w:szCs w:val="18"/>
              </w:rPr>
              <w:t>Tilgreining annarra upplýsinga í útgefandalýsingu sem endurskoðendur hafa endurskoðað.</w:t>
            </w:r>
          </w:p>
        </w:tc>
      </w:tr>
      <w:tr w:rsidR="008251E6" w:rsidRPr="00272E26" w:rsidTr="00272E26">
        <w:tc>
          <w:tcPr>
            <w:tcW w:w="845" w:type="dxa"/>
            <w:tcBorders>
              <w:left w:val="nil"/>
            </w:tcBorders>
          </w:tcPr>
          <w:p w:rsidR="008251E6" w:rsidRPr="00272E26" w:rsidRDefault="008251E6" w:rsidP="0077478B">
            <w:pPr>
              <w:pStyle w:val="Meginml"/>
              <w:rPr>
                <w:rFonts w:ascii="Times New Roman" w:hAnsi="Times New Roman" w:cs="Times New Roman"/>
                <w:sz w:val="18"/>
                <w:szCs w:val="18"/>
              </w:rPr>
            </w:pPr>
          </w:p>
        </w:tc>
        <w:tc>
          <w:tcPr>
            <w:tcW w:w="1282" w:type="dxa"/>
          </w:tcPr>
          <w:p w:rsidR="008251E6" w:rsidRPr="00272E26" w:rsidRDefault="00870A95"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11.2.3.</w:t>
            </w:r>
          </w:p>
        </w:tc>
        <w:tc>
          <w:tcPr>
            <w:tcW w:w="7224" w:type="dxa"/>
            <w:tcBorders>
              <w:right w:val="nil"/>
            </w:tcBorders>
          </w:tcPr>
          <w:p w:rsidR="008251E6" w:rsidRPr="00272E26" w:rsidRDefault="00870A95" w:rsidP="00C3102E">
            <w:pPr>
              <w:pStyle w:val="Tflutexti"/>
              <w:rPr>
                <w:rFonts w:ascii="Times New Roman" w:hAnsi="Times New Roman" w:cs="Times New Roman"/>
                <w:sz w:val="18"/>
                <w:szCs w:val="18"/>
              </w:rPr>
            </w:pPr>
            <w:r w:rsidRPr="00272E26">
              <w:rPr>
                <w:rFonts w:ascii="Times New Roman" w:hAnsi="Times New Roman" w:cs="Times New Roman"/>
                <w:sz w:val="18"/>
                <w:szCs w:val="18"/>
              </w:rPr>
              <w:t>Séu fjárhagsupplýsingar í útgefandalýsingu ekki fengnar úr endurskoðuðum reikningsskilum útgefanda skal tilgreina hvaðan gögnin eru fengin og skýra frá því að gögnin séu ekki endurskoðuð.</w:t>
            </w:r>
          </w:p>
        </w:tc>
      </w:tr>
      <w:tr w:rsidR="008251E6" w:rsidRPr="00272E26" w:rsidTr="00272E26">
        <w:tc>
          <w:tcPr>
            <w:tcW w:w="845" w:type="dxa"/>
            <w:tcBorders>
              <w:left w:val="nil"/>
            </w:tcBorders>
          </w:tcPr>
          <w:p w:rsidR="008251E6" w:rsidRPr="00272E26" w:rsidRDefault="008251E6" w:rsidP="0077478B">
            <w:pPr>
              <w:pStyle w:val="Meginml"/>
              <w:rPr>
                <w:rFonts w:ascii="Times New Roman" w:hAnsi="Times New Roman" w:cs="Times New Roman"/>
                <w:sz w:val="18"/>
                <w:szCs w:val="18"/>
              </w:rPr>
            </w:pPr>
          </w:p>
        </w:tc>
        <w:tc>
          <w:tcPr>
            <w:tcW w:w="1282" w:type="dxa"/>
          </w:tcPr>
          <w:p w:rsidR="008251E6" w:rsidRPr="00272E26" w:rsidRDefault="00870A95"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11.3.</w:t>
            </w:r>
          </w:p>
        </w:tc>
        <w:tc>
          <w:tcPr>
            <w:tcW w:w="7224" w:type="dxa"/>
            <w:tcBorders>
              <w:right w:val="nil"/>
            </w:tcBorders>
          </w:tcPr>
          <w:p w:rsidR="00870A95"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Dómsmál og gerðardómsmál</w:t>
            </w:r>
          </w:p>
          <w:p w:rsidR="008251E6"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Upplýsingar um stjórnsýslu-, dóms- eða gerðardómsmál (þ.m.t. þau mál sem bíða meðferðar eða eru yfirvofandi og útgefanda er kunnugt um) á a.m.k. síðustu tólf mánuðum sem kunna að hafa eða hafa nýlega haft veruleg áhrif á fjárhagsstöðu eða arðsemi útgefanda og/eða samstæðunnar, eða yfirlýsing um að ekki sé um slík mál að ræða.</w:t>
            </w:r>
          </w:p>
        </w:tc>
      </w:tr>
      <w:tr w:rsidR="008251E6" w:rsidRPr="00272E26" w:rsidTr="00272E26">
        <w:tc>
          <w:tcPr>
            <w:tcW w:w="845" w:type="dxa"/>
            <w:tcBorders>
              <w:left w:val="nil"/>
            </w:tcBorders>
          </w:tcPr>
          <w:p w:rsidR="008251E6" w:rsidRPr="00272E26" w:rsidRDefault="008251E6" w:rsidP="0077478B">
            <w:pPr>
              <w:pStyle w:val="Meginml"/>
              <w:rPr>
                <w:rFonts w:ascii="Times New Roman" w:hAnsi="Times New Roman" w:cs="Times New Roman"/>
                <w:sz w:val="18"/>
                <w:szCs w:val="18"/>
              </w:rPr>
            </w:pPr>
          </w:p>
        </w:tc>
        <w:tc>
          <w:tcPr>
            <w:tcW w:w="1282" w:type="dxa"/>
          </w:tcPr>
          <w:p w:rsidR="008251E6" w:rsidRPr="00272E26" w:rsidRDefault="00870A95"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11.4.</w:t>
            </w:r>
          </w:p>
        </w:tc>
        <w:tc>
          <w:tcPr>
            <w:tcW w:w="7224" w:type="dxa"/>
            <w:tcBorders>
              <w:right w:val="nil"/>
            </w:tcBorders>
          </w:tcPr>
          <w:p w:rsidR="00870A95"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Mikilvægar breytingar á fjárhagsstöðu útgefanda</w:t>
            </w:r>
          </w:p>
          <w:p w:rsidR="008251E6"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Lýsing á hvers kyns mikilvægum breytingum á fjárhagsstöðu samstæðunnar sem hafa átt sér stað frá lokum síðasta fjárhagstímabils, sem annaðhvort endurskoðuð reikningsskil eða árshlutaupplýsingar hafa verið birt um, eða yfirlýsing um að slíkar breytingar hafi ekki átt sér stað.</w:t>
            </w:r>
          </w:p>
        </w:tc>
      </w:tr>
      <w:tr w:rsidR="008251E6" w:rsidRPr="00272E26" w:rsidTr="00272E26">
        <w:tc>
          <w:tcPr>
            <w:tcW w:w="845" w:type="dxa"/>
            <w:tcBorders>
              <w:left w:val="nil"/>
            </w:tcBorders>
          </w:tcPr>
          <w:p w:rsidR="008251E6" w:rsidRPr="00272E26" w:rsidRDefault="008251E6" w:rsidP="0077478B">
            <w:pPr>
              <w:pStyle w:val="Meginml"/>
              <w:rPr>
                <w:rFonts w:ascii="Times New Roman" w:hAnsi="Times New Roman" w:cs="Times New Roman"/>
                <w:sz w:val="18"/>
                <w:szCs w:val="18"/>
              </w:rPr>
            </w:pPr>
          </w:p>
        </w:tc>
        <w:tc>
          <w:tcPr>
            <w:tcW w:w="1282" w:type="dxa"/>
          </w:tcPr>
          <w:p w:rsidR="008251E6" w:rsidRPr="00272E26" w:rsidRDefault="00870A95"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11.5.</w:t>
            </w:r>
          </w:p>
        </w:tc>
        <w:tc>
          <w:tcPr>
            <w:tcW w:w="7224" w:type="dxa"/>
            <w:tcBorders>
              <w:right w:val="nil"/>
            </w:tcBorders>
          </w:tcPr>
          <w:p w:rsidR="00870A95"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i/>
                <w:iCs/>
                <w:sz w:val="18"/>
                <w:szCs w:val="18"/>
              </w:rPr>
              <w:t>Pro forma</w:t>
            </w:r>
            <w:r w:rsidRPr="00272E26">
              <w:rPr>
                <w:rFonts w:ascii="Times New Roman" w:hAnsi="Times New Roman" w:cs="Times New Roman"/>
                <w:sz w:val="18"/>
                <w:szCs w:val="18"/>
              </w:rPr>
              <w:t xml:space="preserve"> fjárhagsupplýsingar</w:t>
            </w:r>
          </w:p>
          <w:p w:rsidR="00870A95"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Sé um að ræða verulega brúttóbreytingu skal lýsa því hvaða áhrif viðskiptin gætu hafa haft á eignir, skuldir og tekjur útgefanda ef viðskiptin hefðu átt sér stað við upphaf tímabilsins eða á deginum sem upplýsingar eru veittar um.</w:t>
            </w:r>
          </w:p>
          <w:p w:rsidR="00870A95"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 xml:space="preserve">Þessi krafa er yfirleitt uppfyllt með því að veita </w:t>
            </w:r>
            <w:r w:rsidRPr="00272E26">
              <w:rPr>
                <w:rFonts w:ascii="Times New Roman" w:hAnsi="Times New Roman" w:cs="Times New Roman"/>
                <w:i/>
                <w:iCs/>
                <w:sz w:val="18"/>
                <w:szCs w:val="18"/>
              </w:rPr>
              <w:t>pro forma</w:t>
            </w:r>
            <w:r w:rsidRPr="00272E26">
              <w:rPr>
                <w:rFonts w:ascii="Times New Roman" w:hAnsi="Times New Roman" w:cs="Times New Roman"/>
                <w:sz w:val="18"/>
                <w:szCs w:val="18"/>
              </w:rPr>
              <w:t xml:space="preserve"> fjárhagsupplýsingar. Leggja skal slíkar </w:t>
            </w:r>
            <w:r w:rsidRPr="00272E26">
              <w:rPr>
                <w:rFonts w:ascii="Times New Roman" w:hAnsi="Times New Roman" w:cs="Times New Roman"/>
                <w:i/>
                <w:iCs/>
                <w:sz w:val="18"/>
                <w:szCs w:val="18"/>
              </w:rPr>
              <w:t>pro forma</w:t>
            </w:r>
            <w:r w:rsidRPr="00272E26">
              <w:rPr>
                <w:rFonts w:ascii="Times New Roman" w:hAnsi="Times New Roman" w:cs="Times New Roman"/>
                <w:sz w:val="18"/>
                <w:szCs w:val="18"/>
              </w:rPr>
              <w:t xml:space="preserve"> fjárhagsupplýsingar fram eins og greinir í 20. viðauka og skulu þær fela í sér þær upplýsingar sem þar eru tilgreindar.</w:t>
            </w:r>
          </w:p>
          <w:p w:rsidR="008251E6"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i/>
                <w:iCs/>
                <w:sz w:val="18"/>
                <w:szCs w:val="18"/>
              </w:rPr>
              <w:t>Pro forma</w:t>
            </w:r>
            <w:r w:rsidRPr="00272E26">
              <w:rPr>
                <w:rFonts w:ascii="Times New Roman" w:hAnsi="Times New Roman" w:cs="Times New Roman"/>
                <w:sz w:val="18"/>
                <w:szCs w:val="18"/>
              </w:rPr>
              <w:t xml:space="preserve"> fjárhagsupplýsingum skal fylgja skýrsla sem samin er af óháðum endurskoðendum eða endurskoðunarstofu.</w:t>
            </w:r>
          </w:p>
        </w:tc>
      </w:tr>
      <w:tr w:rsidR="008251E6" w:rsidRPr="00272E26" w:rsidTr="00272E26">
        <w:tc>
          <w:tcPr>
            <w:tcW w:w="845" w:type="dxa"/>
            <w:tcBorders>
              <w:left w:val="nil"/>
            </w:tcBorders>
          </w:tcPr>
          <w:p w:rsidR="008251E6" w:rsidRPr="00272E26" w:rsidRDefault="008251E6" w:rsidP="0077478B">
            <w:pPr>
              <w:pStyle w:val="Meginml"/>
              <w:rPr>
                <w:rFonts w:ascii="Times New Roman" w:hAnsi="Times New Roman" w:cs="Times New Roman"/>
                <w:sz w:val="18"/>
                <w:szCs w:val="18"/>
              </w:rPr>
            </w:pPr>
          </w:p>
        </w:tc>
        <w:tc>
          <w:tcPr>
            <w:tcW w:w="1282" w:type="dxa"/>
          </w:tcPr>
          <w:p w:rsidR="008251E6" w:rsidRPr="00272E26" w:rsidRDefault="00870A95"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11.6.</w:t>
            </w:r>
          </w:p>
        </w:tc>
        <w:tc>
          <w:tcPr>
            <w:tcW w:w="7224" w:type="dxa"/>
            <w:tcBorders>
              <w:right w:val="nil"/>
            </w:tcBorders>
          </w:tcPr>
          <w:p w:rsidR="00870A95"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Arðgreiðslustefna</w:t>
            </w:r>
          </w:p>
          <w:p w:rsidR="008251E6" w:rsidRPr="00272E26" w:rsidRDefault="00870A95"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Lýsing á stefnu útgefanda um arðgreiðslur og á hvers kyns takmörkunum á þeim.</w:t>
            </w:r>
          </w:p>
        </w:tc>
      </w:tr>
      <w:tr w:rsidR="00E9018C" w:rsidRPr="00272E26" w:rsidTr="00272E26">
        <w:tc>
          <w:tcPr>
            <w:tcW w:w="845" w:type="dxa"/>
            <w:tcBorders>
              <w:left w:val="nil"/>
            </w:tcBorders>
          </w:tcPr>
          <w:p w:rsidR="00E9018C" w:rsidRPr="00272E26" w:rsidRDefault="00E9018C" w:rsidP="0077478B">
            <w:pPr>
              <w:pStyle w:val="Meginml"/>
              <w:rPr>
                <w:rFonts w:ascii="Times New Roman" w:hAnsi="Times New Roman" w:cs="Times New Roman"/>
                <w:sz w:val="18"/>
                <w:szCs w:val="18"/>
              </w:rPr>
            </w:pPr>
          </w:p>
        </w:tc>
        <w:tc>
          <w:tcPr>
            <w:tcW w:w="1282" w:type="dxa"/>
          </w:tcPr>
          <w:p w:rsidR="00E9018C" w:rsidRPr="00272E26" w:rsidRDefault="00E9018C"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11.6.1.</w:t>
            </w:r>
          </w:p>
        </w:tc>
        <w:tc>
          <w:tcPr>
            <w:tcW w:w="7224" w:type="dxa"/>
            <w:tcBorders>
              <w:right w:val="nil"/>
            </w:tcBorders>
          </w:tcPr>
          <w:p w:rsidR="00E9018C" w:rsidRPr="00272E26" w:rsidRDefault="00E9018C"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Tilgreina skal fjárhæð arðgreiðslna á hvern hlut fyrir síðasta fjárhagsár og ef fjöldi hluta í útgefanda hefur breyst skal aðlaga fjárhæðina svo tölurnar séu sambærilegar.</w:t>
            </w:r>
          </w:p>
        </w:tc>
      </w:tr>
      <w:tr w:rsidR="00E9018C" w:rsidRPr="00272E26" w:rsidTr="00272E26">
        <w:tc>
          <w:tcPr>
            <w:tcW w:w="845" w:type="dxa"/>
            <w:tcBorders>
              <w:left w:val="nil"/>
            </w:tcBorders>
          </w:tcPr>
          <w:p w:rsidR="00E9018C" w:rsidRPr="00272E26" w:rsidRDefault="00E9018C" w:rsidP="0077478B">
            <w:pPr>
              <w:pStyle w:val="Meginml"/>
              <w:rPr>
                <w:rFonts w:ascii="Times New Roman" w:hAnsi="Times New Roman" w:cs="Times New Roman"/>
                <w:sz w:val="18"/>
                <w:szCs w:val="18"/>
              </w:rPr>
            </w:pPr>
          </w:p>
        </w:tc>
        <w:tc>
          <w:tcPr>
            <w:tcW w:w="1282" w:type="dxa"/>
          </w:tcPr>
          <w:p w:rsidR="00E9018C" w:rsidRPr="00272E26" w:rsidRDefault="00E9018C"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12. ÞÁTTUR</w:t>
            </w:r>
          </w:p>
        </w:tc>
        <w:tc>
          <w:tcPr>
            <w:tcW w:w="7224" w:type="dxa"/>
            <w:tcBorders>
              <w:right w:val="nil"/>
            </w:tcBorders>
          </w:tcPr>
          <w:p w:rsidR="00E9018C" w:rsidRPr="00272E26" w:rsidRDefault="00E9018C"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VIÐBÓTARUPPLÝSINGAR</w:t>
            </w:r>
          </w:p>
        </w:tc>
      </w:tr>
      <w:tr w:rsidR="00E9018C" w:rsidRPr="00272E26" w:rsidTr="00272E26">
        <w:tc>
          <w:tcPr>
            <w:tcW w:w="845" w:type="dxa"/>
            <w:tcBorders>
              <w:left w:val="nil"/>
            </w:tcBorders>
          </w:tcPr>
          <w:p w:rsidR="00E9018C" w:rsidRPr="00272E26" w:rsidRDefault="00E9018C" w:rsidP="0077478B">
            <w:pPr>
              <w:pStyle w:val="Meginml"/>
              <w:rPr>
                <w:rFonts w:ascii="Times New Roman" w:hAnsi="Times New Roman" w:cs="Times New Roman"/>
                <w:sz w:val="18"/>
                <w:szCs w:val="18"/>
              </w:rPr>
            </w:pPr>
          </w:p>
        </w:tc>
        <w:tc>
          <w:tcPr>
            <w:tcW w:w="1282" w:type="dxa"/>
          </w:tcPr>
          <w:p w:rsidR="00E9018C" w:rsidRPr="00272E26" w:rsidRDefault="00E9018C"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12.1.</w:t>
            </w:r>
          </w:p>
        </w:tc>
        <w:tc>
          <w:tcPr>
            <w:tcW w:w="7224" w:type="dxa"/>
            <w:tcBorders>
              <w:right w:val="nil"/>
            </w:tcBorders>
          </w:tcPr>
          <w:p w:rsidR="00E9018C" w:rsidRPr="00272E26" w:rsidRDefault="00E9018C" w:rsidP="00E9018C">
            <w:pPr>
              <w:pStyle w:val="Tflutexti"/>
              <w:rPr>
                <w:rFonts w:ascii="Times New Roman" w:hAnsi="Times New Roman" w:cs="Times New Roman"/>
                <w:sz w:val="18"/>
                <w:szCs w:val="18"/>
              </w:rPr>
            </w:pPr>
            <w:r w:rsidRPr="00272E26">
              <w:rPr>
                <w:rFonts w:ascii="Times New Roman" w:hAnsi="Times New Roman" w:cs="Times New Roman"/>
                <w:sz w:val="18"/>
                <w:szCs w:val="18"/>
              </w:rPr>
              <w:t>Hlutafé</w:t>
            </w:r>
          </w:p>
          <w:p w:rsidR="00E9018C" w:rsidRPr="00272E26" w:rsidRDefault="00E9018C" w:rsidP="00E9018C">
            <w:pPr>
              <w:pStyle w:val="Tflutexti"/>
              <w:rPr>
                <w:rFonts w:ascii="Times New Roman" w:hAnsi="Times New Roman" w:cs="Times New Roman"/>
                <w:sz w:val="18"/>
                <w:szCs w:val="18"/>
              </w:rPr>
            </w:pPr>
            <w:r w:rsidRPr="00272E26">
              <w:rPr>
                <w:rFonts w:ascii="Times New Roman" w:hAnsi="Times New Roman" w:cs="Times New Roman"/>
                <w:sz w:val="18"/>
                <w:szCs w:val="18"/>
              </w:rPr>
              <w:t>Upplýsingarnar í liðum 12.1.1 til 12.1.2 í árlegu reikningsskilunum miðað við dagsetningu nýjasta efnahagsreiknings:</w:t>
            </w:r>
          </w:p>
        </w:tc>
      </w:tr>
      <w:tr w:rsidR="00E9018C" w:rsidRPr="00272E26" w:rsidTr="00272E26">
        <w:tc>
          <w:tcPr>
            <w:tcW w:w="845" w:type="dxa"/>
            <w:tcBorders>
              <w:left w:val="nil"/>
            </w:tcBorders>
          </w:tcPr>
          <w:p w:rsidR="00E9018C" w:rsidRPr="00272E26" w:rsidRDefault="00E9018C" w:rsidP="0077478B">
            <w:pPr>
              <w:pStyle w:val="Meginml"/>
              <w:rPr>
                <w:rFonts w:ascii="Times New Roman" w:hAnsi="Times New Roman" w:cs="Times New Roman"/>
                <w:sz w:val="18"/>
                <w:szCs w:val="18"/>
              </w:rPr>
            </w:pPr>
          </w:p>
        </w:tc>
        <w:tc>
          <w:tcPr>
            <w:tcW w:w="1282" w:type="dxa"/>
          </w:tcPr>
          <w:p w:rsidR="00E9018C" w:rsidRPr="00272E26" w:rsidRDefault="00E9018C"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12.1.1.</w:t>
            </w:r>
          </w:p>
        </w:tc>
        <w:tc>
          <w:tcPr>
            <w:tcW w:w="7224" w:type="dxa"/>
            <w:tcBorders>
              <w:right w:val="nil"/>
            </w:tcBorders>
          </w:tcPr>
          <w:p w:rsidR="00E9018C" w:rsidRPr="00272E26" w:rsidRDefault="00E9018C"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Fjárhæð breytanlegra og skiptanlegra verðbréfa eða verðbréfa með áskriftarréttindi (</w:t>
            </w:r>
            <w:r w:rsidRPr="00272E26">
              <w:rPr>
                <w:rFonts w:ascii="Times New Roman" w:hAnsi="Times New Roman" w:cs="Times New Roman"/>
                <w:i/>
                <w:iCs/>
                <w:sz w:val="18"/>
                <w:szCs w:val="18"/>
              </w:rPr>
              <w:t>e. </w:t>
            </w:r>
            <w:proofErr w:type="spellStart"/>
            <w:r w:rsidRPr="00272E26">
              <w:rPr>
                <w:rFonts w:ascii="Times New Roman" w:hAnsi="Times New Roman" w:cs="Times New Roman"/>
                <w:i/>
                <w:iCs/>
                <w:sz w:val="18"/>
                <w:szCs w:val="18"/>
              </w:rPr>
              <w:t>warrants</w:t>
            </w:r>
            <w:proofErr w:type="spellEnd"/>
            <w:r w:rsidRPr="00272E26">
              <w:rPr>
                <w:rFonts w:ascii="Times New Roman" w:hAnsi="Times New Roman" w:cs="Times New Roman"/>
                <w:sz w:val="18"/>
                <w:szCs w:val="18"/>
              </w:rPr>
              <w:t>), ásamt upplýsingum um skilyrði og aðferðir við breytingu, skiptingu eða áskrift.</w:t>
            </w:r>
          </w:p>
        </w:tc>
      </w:tr>
      <w:tr w:rsidR="00E9018C" w:rsidRPr="00272E26" w:rsidTr="00272E26">
        <w:tc>
          <w:tcPr>
            <w:tcW w:w="845" w:type="dxa"/>
            <w:tcBorders>
              <w:left w:val="nil"/>
            </w:tcBorders>
          </w:tcPr>
          <w:p w:rsidR="00E9018C" w:rsidRPr="00272E26" w:rsidRDefault="00E9018C" w:rsidP="0077478B">
            <w:pPr>
              <w:pStyle w:val="Meginml"/>
              <w:rPr>
                <w:rFonts w:ascii="Times New Roman" w:hAnsi="Times New Roman" w:cs="Times New Roman"/>
                <w:sz w:val="18"/>
                <w:szCs w:val="18"/>
              </w:rPr>
            </w:pPr>
          </w:p>
        </w:tc>
        <w:tc>
          <w:tcPr>
            <w:tcW w:w="1282" w:type="dxa"/>
          </w:tcPr>
          <w:p w:rsidR="00E9018C" w:rsidRPr="00272E26" w:rsidRDefault="00E9018C"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12.1.2.</w:t>
            </w:r>
          </w:p>
        </w:tc>
        <w:tc>
          <w:tcPr>
            <w:tcW w:w="7224" w:type="dxa"/>
            <w:tcBorders>
              <w:right w:val="nil"/>
            </w:tcBorders>
          </w:tcPr>
          <w:p w:rsidR="00E9018C" w:rsidRPr="00272E26" w:rsidRDefault="00E9018C"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Upplýsingar og skilmálar um kauprétti (</w:t>
            </w:r>
            <w:r w:rsidRPr="00272E26">
              <w:rPr>
                <w:rFonts w:ascii="Times New Roman" w:hAnsi="Times New Roman" w:cs="Times New Roman"/>
                <w:i/>
                <w:iCs/>
                <w:sz w:val="18"/>
                <w:szCs w:val="18"/>
              </w:rPr>
              <w:t>e. </w:t>
            </w:r>
            <w:proofErr w:type="spellStart"/>
            <w:r w:rsidRPr="00272E26">
              <w:rPr>
                <w:rFonts w:ascii="Times New Roman" w:hAnsi="Times New Roman" w:cs="Times New Roman"/>
                <w:i/>
                <w:iCs/>
                <w:sz w:val="18"/>
                <w:szCs w:val="18"/>
              </w:rPr>
              <w:t>acquisition</w:t>
            </w:r>
            <w:proofErr w:type="spellEnd"/>
            <w:r w:rsidRPr="00272E26">
              <w:rPr>
                <w:rFonts w:ascii="Times New Roman" w:hAnsi="Times New Roman" w:cs="Times New Roman"/>
                <w:i/>
                <w:iCs/>
                <w:sz w:val="18"/>
                <w:szCs w:val="18"/>
              </w:rPr>
              <w:t xml:space="preserve"> </w:t>
            </w:r>
            <w:proofErr w:type="spellStart"/>
            <w:r w:rsidRPr="00272E26">
              <w:rPr>
                <w:rFonts w:ascii="Times New Roman" w:hAnsi="Times New Roman" w:cs="Times New Roman"/>
                <w:i/>
                <w:iCs/>
                <w:sz w:val="18"/>
                <w:szCs w:val="18"/>
              </w:rPr>
              <w:t>rights</w:t>
            </w:r>
            <w:proofErr w:type="spellEnd"/>
            <w:r w:rsidRPr="00272E26">
              <w:rPr>
                <w:rFonts w:ascii="Times New Roman" w:hAnsi="Times New Roman" w:cs="Times New Roman"/>
                <w:sz w:val="18"/>
                <w:szCs w:val="18"/>
              </w:rPr>
              <w:t>) og/eða skuldbindingar í tengslum við heimilað en óútgefið hlutafé eða áform um að auka hlutafé.</w:t>
            </w:r>
          </w:p>
        </w:tc>
      </w:tr>
      <w:tr w:rsidR="00E9018C" w:rsidRPr="00272E26" w:rsidTr="00272E26">
        <w:tc>
          <w:tcPr>
            <w:tcW w:w="845" w:type="dxa"/>
            <w:tcBorders>
              <w:left w:val="nil"/>
            </w:tcBorders>
          </w:tcPr>
          <w:p w:rsidR="00E9018C" w:rsidRPr="00272E26" w:rsidRDefault="00E9018C" w:rsidP="0077478B">
            <w:pPr>
              <w:pStyle w:val="Meginml"/>
              <w:rPr>
                <w:rFonts w:ascii="Times New Roman" w:hAnsi="Times New Roman" w:cs="Times New Roman"/>
                <w:sz w:val="18"/>
                <w:szCs w:val="18"/>
              </w:rPr>
            </w:pPr>
          </w:p>
        </w:tc>
        <w:tc>
          <w:tcPr>
            <w:tcW w:w="1282" w:type="dxa"/>
          </w:tcPr>
          <w:p w:rsidR="00E9018C" w:rsidRPr="00272E26" w:rsidRDefault="001378DF"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13. ÞÁTTUR</w:t>
            </w:r>
          </w:p>
        </w:tc>
        <w:tc>
          <w:tcPr>
            <w:tcW w:w="7224" w:type="dxa"/>
            <w:tcBorders>
              <w:right w:val="nil"/>
            </w:tcBorders>
          </w:tcPr>
          <w:p w:rsidR="00E9018C" w:rsidRPr="00272E26" w:rsidRDefault="001378DF"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UPPLÝSINGAGJÖF SAMKVÆMT REGLURAMMA</w:t>
            </w:r>
          </w:p>
        </w:tc>
      </w:tr>
      <w:tr w:rsidR="00633B41" w:rsidRPr="00272E26" w:rsidTr="00272E26">
        <w:tc>
          <w:tcPr>
            <w:tcW w:w="845" w:type="dxa"/>
            <w:tcBorders>
              <w:left w:val="nil"/>
            </w:tcBorders>
          </w:tcPr>
          <w:p w:rsidR="00633B41" w:rsidRPr="00272E26" w:rsidRDefault="00633B41" w:rsidP="0077478B">
            <w:pPr>
              <w:pStyle w:val="Meginml"/>
              <w:rPr>
                <w:rFonts w:ascii="Times New Roman" w:hAnsi="Times New Roman" w:cs="Times New Roman"/>
                <w:sz w:val="18"/>
                <w:szCs w:val="18"/>
              </w:rPr>
            </w:pPr>
          </w:p>
        </w:tc>
        <w:tc>
          <w:tcPr>
            <w:tcW w:w="1282" w:type="dxa"/>
          </w:tcPr>
          <w:p w:rsidR="00633B41" w:rsidRPr="00272E26" w:rsidRDefault="00633B41"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13.1.</w:t>
            </w:r>
          </w:p>
        </w:tc>
        <w:tc>
          <w:tcPr>
            <w:tcW w:w="7224" w:type="dxa"/>
            <w:tcBorders>
              <w:right w:val="nil"/>
            </w:tcBorders>
          </w:tcPr>
          <w:p w:rsidR="00633B41" w:rsidRPr="00272E26" w:rsidRDefault="00633B41" w:rsidP="00633B41">
            <w:pPr>
              <w:pStyle w:val="Tflutexti"/>
              <w:rPr>
                <w:rFonts w:ascii="Times New Roman" w:hAnsi="Times New Roman" w:cs="Times New Roman"/>
                <w:sz w:val="18"/>
                <w:szCs w:val="18"/>
              </w:rPr>
            </w:pPr>
            <w:r w:rsidRPr="00272E26">
              <w:rPr>
                <w:rFonts w:ascii="Times New Roman" w:hAnsi="Times New Roman" w:cs="Times New Roman"/>
                <w:sz w:val="18"/>
                <w:szCs w:val="18"/>
              </w:rPr>
              <w:t>Samantekt á upplýsingum sem birtar hafa verið samkvæmt reglugerð (ESB) nr. 596/2014 á næstliðnum tólf mánuðum og skipta máli á dagsetningu lýsingarinnar, Samantektin skal sett fram á auðgreinanlegan, gagnorðan og auðskilinn hátt og skal ekki vera endurtekning upplýsinga sem þegar hafa verið birtar skv. reglugerð (ESB) nr. 596/2014.</w:t>
            </w:r>
          </w:p>
          <w:p w:rsidR="00633B41" w:rsidRPr="00272E26" w:rsidRDefault="00633B41" w:rsidP="00633B41">
            <w:pPr>
              <w:pStyle w:val="Tflutexti"/>
              <w:rPr>
                <w:rFonts w:ascii="Times New Roman" w:hAnsi="Times New Roman" w:cs="Times New Roman"/>
                <w:sz w:val="18"/>
                <w:szCs w:val="18"/>
              </w:rPr>
            </w:pPr>
            <w:r w:rsidRPr="00272E26">
              <w:rPr>
                <w:rFonts w:ascii="Times New Roman" w:hAnsi="Times New Roman" w:cs="Times New Roman"/>
                <w:sz w:val="18"/>
                <w:szCs w:val="18"/>
              </w:rPr>
              <w:t>Samantektin skal sett fram í takmörkuðum fjölda flokka eftir efni.</w:t>
            </w:r>
          </w:p>
        </w:tc>
      </w:tr>
      <w:tr w:rsidR="00633B41" w:rsidRPr="00272E26" w:rsidTr="00272E26">
        <w:tc>
          <w:tcPr>
            <w:tcW w:w="845" w:type="dxa"/>
            <w:tcBorders>
              <w:left w:val="nil"/>
            </w:tcBorders>
          </w:tcPr>
          <w:p w:rsidR="00633B41" w:rsidRPr="00272E26" w:rsidRDefault="00633B41" w:rsidP="0077478B">
            <w:pPr>
              <w:pStyle w:val="Meginml"/>
              <w:rPr>
                <w:rFonts w:ascii="Times New Roman" w:hAnsi="Times New Roman" w:cs="Times New Roman"/>
                <w:sz w:val="18"/>
                <w:szCs w:val="18"/>
              </w:rPr>
            </w:pPr>
          </w:p>
        </w:tc>
        <w:tc>
          <w:tcPr>
            <w:tcW w:w="1282" w:type="dxa"/>
          </w:tcPr>
          <w:p w:rsidR="00633B41" w:rsidRPr="00272E26" w:rsidRDefault="0014057D"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14. ÞÁTTUR</w:t>
            </w:r>
          </w:p>
        </w:tc>
        <w:tc>
          <w:tcPr>
            <w:tcW w:w="7224" w:type="dxa"/>
            <w:tcBorders>
              <w:right w:val="nil"/>
            </w:tcBorders>
          </w:tcPr>
          <w:p w:rsidR="00633B41" w:rsidRPr="00272E26" w:rsidRDefault="0014057D"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MIKILVÆGIR SAMNINGAR</w:t>
            </w:r>
          </w:p>
        </w:tc>
      </w:tr>
      <w:tr w:rsidR="00633B41" w:rsidRPr="00272E26" w:rsidTr="00272E26">
        <w:tc>
          <w:tcPr>
            <w:tcW w:w="845" w:type="dxa"/>
            <w:tcBorders>
              <w:left w:val="nil"/>
            </w:tcBorders>
          </w:tcPr>
          <w:p w:rsidR="00633B41" w:rsidRPr="00272E26" w:rsidRDefault="00633B41" w:rsidP="0077478B">
            <w:pPr>
              <w:pStyle w:val="Meginml"/>
              <w:rPr>
                <w:rFonts w:ascii="Times New Roman" w:hAnsi="Times New Roman" w:cs="Times New Roman"/>
                <w:sz w:val="18"/>
                <w:szCs w:val="18"/>
              </w:rPr>
            </w:pPr>
          </w:p>
        </w:tc>
        <w:tc>
          <w:tcPr>
            <w:tcW w:w="1282" w:type="dxa"/>
          </w:tcPr>
          <w:p w:rsidR="00633B41" w:rsidRPr="00272E26" w:rsidRDefault="0014057D"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14.1.</w:t>
            </w:r>
          </w:p>
        </w:tc>
        <w:tc>
          <w:tcPr>
            <w:tcW w:w="7224" w:type="dxa"/>
            <w:tcBorders>
              <w:right w:val="nil"/>
            </w:tcBorders>
          </w:tcPr>
          <w:p w:rsidR="0014057D" w:rsidRPr="00272E26" w:rsidRDefault="0014057D" w:rsidP="0014057D">
            <w:pPr>
              <w:pStyle w:val="Tflutexti"/>
              <w:rPr>
                <w:rFonts w:ascii="Times New Roman" w:hAnsi="Times New Roman" w:cs="Times New Roman"/>
                <w:sz w:val="18"/>
                <w:szCs w:val="18"/>
              </w:rPr>
            </w:pPr>
            <w:r w:rsidRPr="00272E26">
              <w:rPr>
                <w:rFonts w:ascii="Times New Roman" w:hAnsi="Times New Roman" w:cs="Times New Roman"/>
                <w:sz w:val="18"/>
                <w:szCs w:val="18"/>
              </w:rPr>
              <w:t>Stutt samantekt á öllum mikilvægum samningum, að undanskildum þeim sem eru gerðir í venjulegum rekstri, sem útgefandi eða önnur félög í samstæðunni eru aðilar að, á næstliðnum tveimur árum fyrir birtingu útgefandalýsingar.</w:t>
            </w:r>
          </w:p>
          <w:p w:rsidR="00633B41" w:rsidRPr="00272E26" w:rsidRDefault="0014057D" w:rsidP="0014057D">
            <w:pPr>
              <w:pStyle w:val="Tflutexti"/>
              <w:rPr>
                <w:rFonts w:ascii="Times New Roman" w:hAnsi="Times New Roman" w:cs="Times New Roman"/>
                <w:sz w:val="18"/>
                <w:szCs w:val="18"/>
              </w:rPr>
            </w:pPr>
            <w:r w:rsidRPr="00272E26">
              <w:rPr>
                <w:rFonts w:ascii="Times New Roman" w:hAnsi="Times New Roman" w:cs="Times New Roman"/>
                <w:sz w:val="18"/>
                <w:szCs w:val="18"/>
              </w:rPr>
              <w:lastRenderedPageBreak/>
              <w:t>Stutt samantekt á öllum öðrum samningum (sem ekki eru gerðir í venjulegum rekstri) sem eitthvert félag í samstæðunni hefur gert og kveða á um skyldur eða rétt einhvers félags í samstæðunni sem skipta máli fyrir hana á dagsetningu útgefandalýsingar.</w:t>
            </w:r>
          </w:p>
        </w:tc>
      </w:tr>
      <w:tr w:rsidR="00633B41" w:rsidRPr="00272E26" w:rsidTr="00272E26">
        <w:tc>
          <w:tcPr>
            <w:tcW w:w="845" w:type="dxa"/>
            <w:tcBorders>
              <w:left w:val="nil"/>
            </w:tcBorders>
          </w:tcPr>
          <w:p w:rsidR="00633B41" w:rsidRPr="00272E26" w:rsidRDefault="00633B41" w:rsidP="0077478B">
            <w:pPr>
              <w:pStyle w:val="Meginml"/>
              <w:rPr>
                <w:rFonts w:ascii="Times New Roman" w:hAnsi="Times New Roman" w:cs="Times New Roman"/>
                <w:sz w:val="18"/>
                <w:szCs w:val="18"/>
              </w:rPr>
            </w:pPr>
          </w:p>
        </w:tc>
        <w:tc>
          <w:tcPr>
            <w:tcW w:w="1282" w:type="dxa"/>
          </w:tcPr>
          <w:p w:rsidR="00633B41" w:rsidRPr="00272E26" w:rsidRDefault="0014057D"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15. ÞÁTTUR</w:t>
            </w:r>
          </w:p>
        </w:tc>
        <w:tc>
          <w:tcPr>
            <w:tcW w:w="7224" w:type="dxa"/>
            <w:tcBorders>
              <w:right w:val="nil"/>
            </w:tcBorders>
          </w:tcPr>
          <w:p w:rsidR="00633B41" w:rsidRPr="00272E26" w:rsidRDefault="0014057D" w:rsidP="00870A95">
            <w:pPr>
              <w:pStyle w:val="Tflutexti"/>
              <w:rPr>
                <w:rFonts w:ascii="Times New Roman" w:hAnsi="Times New Roman" w:cs="Times New Roman"/>
                <w:sz w:val="18"/>
                <w:szCs w:val="18"/>
              </w:rPr>
            </w:pPr>
            <w:r w:rsidRPr="00272E26">
              <w:rPr>
                <w:rFonts w:ascii="Times New Roman" w:hAnsi="Times New Roman" w:cs="Times New Roman"/>
                <w:sz w:val="18"/>
                <w:szCs w:val="18"/>
              </w:rPr>
              <w:t>TILTÆK SKJÖL</w:t>
            </w:r>
          </w:p>
        </w:tc>
      </w:tr>
      <w:tr w:rsidR="00633B41" w:rsidRPr="00272E26" w:rsidTr="00272E26">
        <w:tc>
          <w:tcPr>
            <w:tcW w:w="845" w:type="dxa"/>
            <w:tcBorders>
              <w:left w:val="nil"/>
            </w:tcBorders>
          </w:tcPr>
          <w:p w:rsidR="00633B41" w:rsidRPr="00272E26" w:rsidRDefault="00633B41" w:rsidP="0077478B">
            <w:pPr>
              <w:pStyle w:val="Meginml"/>
              <w:rPr>
                <w:rFonts w:ascii="Times New Roman" w:hAnsi="Times New Roman" w:cs="Times New Roman"/>
                <w:sz w:val="18"/>
                <w:szCs w:val="18"/>
              </w:rPr>
            </w:pPr>
          </w:p>
        </w:tc>
        <w:tc>
          <w:tcPr>
            <w:tcW w:w="1282" w:type="dxa"/>
          </w:tcPr>
          <w:p w:rsidR="00633B41" w:rsidRPr="00272E26" w:rsidRDefault="0014057D" w:rsidP="0077478B">
            <w:pPr>
              <w:pStyle w:val="Tflutexti"/>
              <w:rPr>
                <w:rFonts w:ascii="Times New Roman" w:hAnsi="Times New Roman" w:cs="Times New Roman"/>
                <w:sz w:val="18"/>
                <w:szCs w:val="18"/>
              </w:rPr>
            </w:pPr>
            <w:r w:rsidRPr="00272E26">
              <w:rPr>
                <w:rFonts w:ascii="Times New Roman" w:hAnsi="Times New Roman" w:cs="Times New Roman"/>
                <w:sz w:val="18"/>
                <w:szCs w:val="18"/>
              </w:rPr>
              <w:t>Liður 15.1.</w:t>
            </w:r>
          </w:p>
        </w:tc>
        <w:tc>
          <w:tcPr>
            <w:tcW w:w="7224" w:type="dxa"/>
            <w:tcBorders>
              <w:right w:val="nil"/>
            </w:tcBorders>
          </w:tcPr>
          <w:p w:rsidR="0014057D" w:rsidRPr="00272E26" w:rsidRDefault="0014057D" w:rsidP="0014057D">
            <w:pPr>
              <w:pStyle w:val="Tflutexti"/>
              <w:rPr>
                <w:rFonts w:ascii="Times New Roman" w:hAnsi="Times New Roman" w:cs="Times New Roman"/>
                <w:sz w:val="18"/>
                <w:szCs w:val="18"/>
              </w:rPr>
            </w:pPr>
            <w:r w:rsidRPr="00272E26">
              <w:rPr>
                <w:rFonts w:ascii="Times New Roman" w:hAnsi="Times New Roman" w:cs="Times New Roman"/>
                <w:sz w:val="18"/>
                <w:szCs w:val="18"/>
              </w:rPr>
              <w:t>Yfirlýsing um að á gildistíma útgefandalýsingar sé heimilt, eftir atvikum, að skoða eftirfarandi skjöl:</w:t>
            </w:r>
          </w:p>
          <w:p w:rsidR="0014057D" w:rsidRPr="00272E26" w:rsidRDefault="0014057D" w:rsidP="0014057D">
            <w:pPr>
              <w:pStyle w:val="Tflutexti"/>
              <w:spacing w:after="0"/>
              <w:ind w:left="323" w:hanging="323"/>
              <w:rPr>
                <w:rFonts w:ascii="Times New Roman" w:hAnsi="Times New Roman" w:cs="Times New Roman"/>
                <w:sz w:val="18"/>
                <w:szCs w:val="18"/>
              </w:rPr>
            </w:pPr>
            <w:r w:rsidRPr="00272E26">
              <w:rPr>
                <w:rFonts w:ascii="Times New Roman" w:hAnsi="Times New Roman" w:cs="Times New Roman"/>
                <w:sz w:val="18"/>
                <w:szCs w:val="18"/>
              </w:rPr>
              <w:t>a)</w:t>
            </w:r>
            <w:r w:rsidRPr="00272E26">
              <w:rPr>
                <w:rFonts w:ascii="Times New Roman" w:hAnsi="Times New Roman" w:cs="Times New Roman"/>
                <w:sz w:val="18"/>
                <w:szCs w:val="18"/>
              </w:rPr>
              <w:tab/>
              <w:t>gildandi stofnsamning og samþykktir útgefanda,</w:t>
            </w:r>
          </w:p>
          <w:p w:rsidR="0014057D" w:rsidRPr="00272E26" w:rsidRDefault="0014057D" w:rsidP="0014057D">
            <w:pPr>
              <w:pStyle w:val="Tflutexti"/>
              <w:spacing w:before="0"/>
              <w:ind w:left="323" w:hanging="323"/>
              <w:rPr>
                <w:rFonts w:ascii="Times New Roman" w:hAnsi="Times New Roman" w:cs="Times New Roman"/>
                <w:sz w:val="18"/>
                <w:szCs w:val="18"/>
              </w:rPr>
            </w:pPr>
            <w:r w:rsidRPr="00272E26">
              <w:rPr>
                <w:rFonts w:ascii="Times New Roman" w:hAnsi="Times New Roman" w:cs="Times New Roman"/>
                <w:sz w:val="18"/>
                <w:szCs w:val="18"/>
              </w:rPr>
              <w:t>b)</w:t>
            </w:r>
            <w:r w:rsidRPr="00272E26">
              <w:rPr>
                <w:rFonts w:ascii="Times New Roman" w:hAnsi="Times New Roman" w:cs="Times New Roman"/>
                <w:sz w:val="18"/>
                <w:szCs w:val="18"/>
              </w:rPr>
              <w:tab/>
              <w:t>allar skýrslur, bréf og önnur skjöl, mats- og greinargerðir sem eru samdar af sérfræðingum að beiðni útgefanda og að einhverju leyti eru felld inn í eða er vísað til í útgefandalýsingu.</w:t>
            </w:r>
          </w:p>
          <w:p w:rsidR="00633B41" w:rsidRPr="00272E26" w:rsidRDefault="0014057D" w:rsidP="0014057D">
            <w:pPr>
              <w:pStyle w:val="Tflutexti"/>
              <w:rPr>
                <w:rFonts w:ascii="Times New Roman" w:hAnsi="Times New Roman" w:cs="Times New Roman"/>
                <w:sz w:val="18"/>
                <w:szCs w:val="18"/>
              </w:rPr>
            </w:pPr>
            <w:r w:rsidRPr="00272E26">
              <w:rPr>
                <w:rFonts w:ascii="Times New Roman" w:hAnsi="Times New Roman" w:cs="Times New Roman"/>
                <w:sz w:val="18"/>
                <w:szCs w:val="18"/>
              </w:rPr>
              <w:t>Tilgreina skal vefsetur þar sem hægt er að skoða skjölin.</w:t>
            </w:r>
          </w:p>
        </w:tc>
      </w:tr>
    </w:tbl>
    <w:p w:rsidR="0056743C" w:rsidRPr="00272E26" w:rsidRDefault="0056743C" w:rsidP="00086D40">
      <w:pPr>
        <w:rPr>
          <w:rFonts w:ascii="Times New Roman" w:hAnsi="Times New Roman" w:cs="Times New Roman"/>
          <w:sz w:val="18"/>
          <w:szCs w:val="18"/>
        </w:rPr>
      </w:pPr>
    </w:p>
    <w:sectPr w:rsidR="0056743C" w:rsidRPr="00272E26"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3C" w:rsidRDefault="0056743C" w:rsidP="004C2AD6">
      <w:r>
        <w:separator/>
      </w:r>
    </w:p>
  </w:endnote>
  <w:endnote w:type="continuationSeparator" w:id="0">
    <w:p w:rsidR="0056743C" w:rsidRDefault="0056743C"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BC06D8" w:rsidRDefault="0056743C" w:rsidP="007F6312">
    <w:pPr>
      <w:pStyle w:val="Footer"/>
      <w:tabs>
        <w:tab w:val="clear" w:pos="9360"/>
        <w:tab w:val="center" w:pos="4532"/>
      </w:tabs>
      <w:rPr>
        <w:i/>
      </w:rPr>
    </w:pPr>
    <w:r w:rsidRPr="007F6312">
      <w:tab/>
    </w:r>
    <w:sdt>
      <w:sdtPr>
        <w:rPr>
          <w:i/>
        </w:rPr>
        <w:id w:val="121507023"/>
        <w:docPartObj>
          <w:docPartGallery w:val="Page Numbers (Bottom of Page)"/>
          <w:docPartUnique/>
        </w:docPartObj>
      </w:sdtPr>
      <w:sdtEndPr>
        <w:rPr>
          <w:i w:val="0"/>
          <w:noProof/>
        </w:rPr>
      </w:sdtEndPr>
      <w:sdtContent>
        <w:r w:rsidRPr="00BC06D8">
          <w:rPr>
            <w:rFonts w:ascii="Syntax LT Std" w:hAnsi="Syntax LT Std"/>
            <w:sz w:val="18"/>
            <w:szCs w:val="18"/>
          </w:rPr>
          <w:fldChar w:fldCharType="begin"/>
        </w:r>
        <w:r w:rsidRPr="00BC06D8">
          <w:rPr>
            <w:rFonts w:ascii="Syntax LT Std" w:hAnsi="Syntax LT Std"/>
            <w:sz w:val="18"/>
            <w:szCs w:val="18"/>
          </w:rPr>
          <w:instrText xml:space="preserve"> PAGE   \* MERGEFORMAT </w:instrText>
        </w:r>
        <w:r w:rsidRPr="00BC06D8">
          <w:rPr>
            <w:rFonts w:ascii="Syntax LT Std" w:hAnsi="Syntax LT Std"/>
            <w:sz w:val="18"/>
            <w:szCs w:val="18"/>
          </w:rPr>
          <w:fldChar w:fldCharType="separate"/>
        </w:r>
        <w:r w:rsidR="00272E26">
          <w:rPr>
            <w:rFonts w:ascii="Syntax LT Std" w:hAnsi="Syntax LT Std"/>
            <w:noProof/>
            <w:sz w:val="18"/>
            <w:szCs w:val="18"/>
          </w:rPr>
          <w:t>6</w:t>
        </w:r>
        <w:r w:rsidRPr="00BC06D8">
          <w:rPr>
            <w:rFonts w:ascii="Syntax LT Std" w:hAnsi="Syntax LT Std"/>
            <w:noProof/>
            <w:sz w:val="18"/>
            <w:szCs w:val="18"/>
          </w:rPr>
          <w:fldChar w:fldCharType="end"/>
        </w:r>
      </w:sdtContent>
    </w:sdt>
    <w:r w:rsidRPr="00BC06D8">
      <w:rPr>
        <w:noProof/>
      </w:rPr>
      <w:tab/>
    </w:r>
    <w:r w:rsidRPr="00BC06D8">
      <w:rPr>
        <w:noProof/>
      </w:rPr>
      <w:tab/>
    </w:r>
  </w:p>
  <w:p w:rsidR="0056743C" w:rsidRPr="007F6312" w:rsidRDefault="0056743C">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5E0130" w:rsidRDefault="0056743C">
    <w:pPr>
      <w:pStyle w:val="Footer"/>
      <w:jc w:val="center"/>
      <w:rPr>
        <w:rFonts w:ascii="Syntax LT Std" w:hAnsi="Syntax LT Std"/>
        <w:sz w:val="18"/>
        <w:szCs w:val="18"/>
      </w:rPr>
    </w:pPr>
  </w:p>
  <w:p w:rsidR="0056743C" w:rsidRDefault="0056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3C" w:rsidRDefault="0056743C" w:rsidP="004C2AD6">
      <w:r>
        <w:separator/>
      </w:r>
    </w:p>
  </w:footnote>
  <w:footnote w:type="continuationSeparator" w:id="0">
    <w:p w:rsidR="0056743C" w:rsidRDefault="0056743C"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p>
  <w:p w:rsidR="0056743C" w:rsidRDefault="0056743C">
    <w:pPr>
      <w:pStyle w:val="Header"/>
    </w:pPr>
    <w:r>
      <w:rPr>
        <w:noProof/>
        <w:lang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r>
      <w:rPr>
        <w:noProof/>
        <w:lang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B0F36EA"/>
    <w:multiLevelType w:val="hybridMultilevel"/>
    <w:tmpl w:val="58B21180"/>
    <w:lvl w:ilvl="0" w:tplc="9078B66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8"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onsecutiveHyphenLimit w:val="3"/>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1BA9"/>
    <w:rsid w:val="00004000"/>
    <w:rsid w:val="000117D6"/>
    <w:rsid w:val="00016CB1"/>
    <w:rsid w:val="000472F2"/>
    <w:rsid w:val="00071910"/>
    <w:rsid w:val="0008056E"/>
    <w:rsid w:val="00086D40"/>
    <w:rsid w:val="000969A7"/>
    <w:rsid w:val="000B1246"/>
    <w:rsid w:val="000B4F48"/>
    <w:rsid w:val="000C4A85"/>
    <w:rsid w:val="000E3F84"/>
    <w:rsid w:val="000F41BB"/>
    <w:rsid w:val="00110951"/>
    <w:rsid w:val="00112D07"/>
    <w:rsid w:val="00115C50"/>
    <w:rsid w:val="00124A1D"/>
    <w:rsid w:val="00124A7B"/>
    <w:rsid w:val="001378DF"/>
    <w:rsid w:val="0014057D"/>
    <w:rsid w:val="00145496"/>
    <w:rsid w:val="0015527B"/>
    <w:rsid w:val="00166A8A"/>
    <w:rsid w:val="00173F0B"/>
    <w:rsid w:val="001900B4"/>
    <w:rsid w:val="00193BC3"/>
    <w:rsid w:val="001A4B41"/>
    <w:rsid w:val="001C014B"/>
    <w:rsid w:val="001E5E3E"/>
    <w:rsid w:val="001F20DA"/>
    <w:rsid w:val="0023476A"/>
    <w:rsid w:val="0027081A"/>
    <w:rsid w:val="00272E26"/>
    <w:rsid w:val="002776DC"/>
    <w:rsid w:val="00281163"/>
    <w:rsid w:val="002834C2"/>
    <w:rsid w:val="002C14F6"/>
    <w:rsid w:val="002C1F03"/>
    <w:rsid w:val="002C4DEE"/>
    <w:rsid w:val="002D383E"/>
    <w:rsid w:val="002D5752"/>
    <w:rsid w:val="002E73A5"/>
    <w:rsid w:val="002F5BAF"/>
    <w:rsid w:val="0034708D"/>
    <w:rsid w:val="003530CE"/>
    <w:rsid w:val="0037551E"/>
    <w:rsid w:val="0038196C"/>
    <w:rsid w:val="003A6ACB"/>
    <w:rsid w:val="003B26F8"/>
    <w:rsid w:val="003B7EF8"/>
    <w:rsid w:val="00400584"/>
    <w:rsid w:val="00431712"/>
    <w:rsid w:val="00453322"/>
    <w:rsid w:val="00472427"/>
    <w:rsid w:val="004B390F"/>
    <w:rsid w:val="004C2AD6"/>
    <w:rsid w:val="004F7A17"/>
    <w:rsid w:val="0053158A"/>
    <w:rsid w:val="005408A1"/>
    <w:rsid w:val="00551F59"/>
    <w:rsid w:val="00553173"/>
    <w:rsid w:val="0056743C"/>
    <w:rsid w:val="005A29F9"/>
    <w:rsid w:val="005E0130"/>
    <w:rsid w:val="005F58FF"/>
    <w:rsid w:val="00606C30"/>
    <w:rsid w:val="00616F56"/>
    <w:rsid w:val="00620C4C"/>
    <w:rsid w:val="00621A1C"/>
    <w:rsid w:val="00625694"/>
    <w:rsid w:val="00633B41"/>
    <w:rsid w:val="00646C80"/>
    <w:rsid w:val="00651203"/>
    <w:rsid w:val="006743E4"/>
    <w:rsid w:val="006A09C0"/>
    <w:rsid w:val="006A5904"/>
    <w:rsid w:val="006C5373"/>
    <w:rsid w:val="006C70F2"/>
    <w:rsid w:val="006D601C"/>
    <w:rsid w:val="006D7F78"/>
    <w:rsid w:val="00702DD5"/>
    <w:rsid w:val="00706462"/>
    <w:rsid w:val="00730F88"/>
    <w:rsid w:val="00737D2D"/>
    <w:rsid w:val="00753BAC"/>
    <w:rsid w:val="00760BE8"/>
    <w:rsid w:val="0077478B"/>
    <w:rsid w:val="007B0B36"/>
    <w:rsid w:val="007B4FD3"/>
    <w:rsid w:val="007B5B30"/>
    <w:rsid w:val="007E461F"/>
    <w:rsid w:val="007F6312"/>
    <w:rsid w:val="00800EC5"/>
    <w:rsid w:val="008102DF"/>
    <w:rsid w:val="008251E6"/>
    <w:rsid w:val="00843318"/>
    <w:rsid w:val="00852758"/>
    <w:rsid w:val="00870A95"/>
    <w:rsid w:val="00884E14"/>
    <w:rsid w:val="008A14B5"/>
    <w:rsid w:val="008A15DC"/>
    <w:rsid w:val="008D2569"/>
    <w:rsid w:val="008D3D19"/>
    <w:rsid w:val="008E7443"/>
    <w:rsid w:val="00911C1E"/>
    <w:rsid w:val="0093269A"/>
    <w:rsid w:val="00934E11"/>
    <w:rsid w:val="00960745"/>
    <w:rsid w:val="0096481A"/>
    <w:rsid w:val="0096694E"/>
    <w:rsid w:val="009B6F21"/>
    <w:rsid w:val="009C2663"/>
    <w:rsid w:val="009D0B31"/>
    <w:rsid w:val="009D541A"/>
    <w:rsid w:val="00A6629E"/>
    <w:rsid w:val="00A83EDE"/>
    <w:rsid w:val="00AE62B0"/>
    <w:rsid w:val="00B14D7F"/>
    <w:rsid w:val="00B15DBD"/>
    <w:rsid w:val="00B271B8"/>
    <w:rsid w:val="00B47397"/>
    <w:rsid w:val="00B724CE"/>
    <w:rsid w:val="00B73A36"/>
    <w:rsid w:val="00B75D56"/>
    <w:rsid w:val="00B851E6"/>
    <w:rsid w:val="00B948CF"/>
    <w:rsid w:val="00BA76BB"/>
    <w:rsid w:val="00BC06D8"/>
    <w:rsid w:val="00BC3877"/>
    <w:rsid w:val="00BC4587"/>
    <w:rsid w:val="00BF72D5"/>
    <w:rsid w:val="00C3102E"/>
    <w:rsid w:val="00C50053"/>
    <w:rsid w:val="00C5268A"/>
    <w:rsid w:val="00C61062"/>
    <w:rsid w:val="00C7686E"/>
    <w:rsid w:val="00C85B4B"/>
    <w:rsid w:val="00CB34D8"/>
    <w:rsid w:val="00CC5632"/>
    <w:rsid w:val="00CD20EA"/>
    <w:rsid w:val="00CF771D"/>
    <w:rsid w:val="00D16F4E"/>
    <w:rsid w:val="00D226DA"/>
    <w:rsid w:val="00D70593"/>
    <w:rsid w:val="00D94D99"/>
    <w:rsid w:val="00DB21C8"/>
    <w:rsid w:val="00DB324A"/>
    <w:rsid w:val="00DC4C8B"/>
    <w:rsid w:val="00DD3078"/>
    <w:rsid w:val="00DE116E"/>
    <w:rsid w:val="00DF0B2D"/>
    <w:rsid w:val="00E272DD"/>
    <w:rsid w:val="00E55468"/>
    <w:rsid w:val="00E62101"/>
    <w:rsid w:val="00E8597A"/>
    <w:rsid w:val="00E9018C"/>
    <w:rsid w:val="00E90779"/>
    <w:rsid w:val="00EB1F15"/>
    <w:rsid w:val="00EB2C0B"/>
    <w:rsid w:val="00ED1441"/>
    <w:rsid w:val="00EE1F3A"/>
    <w:rsid w:val="00EF0CBF"/>
    <w:rsid w:val="00EF3182"/>
    <w:rsid w:val="00EF7920"/>
    <w:rsid w:val="00F256B2"/>
    <w:rsid w:val="00F54F76"/>
    <w:rsid w:val="00F662C0"/>
    <w:rsid w:val="00F72C3C"/>
    <w:rsid w:val="00F75224"/>
    <w:rsid w:val="00F87F3F"/>
    <w:rsid w:val="00FA026D"/>
    <w:rsid w:val="00FC2984"/>
    <w:rsid w:val="00FC3D8A"/>
    <w:rsid w:val="00FC7D1D"/>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is-IS"/>
    </w:rPr>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016CB1"/>
    <w:pPr>
      <w:spacing w:line="180" w:lineRule="exact"/>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rPr>
  </w:style>
  <w:style w:type="paragraph" w:customStyle="1" w:styleId="Neanmlsgreinar">
    <w:name w:val="Neðanmálsgreinar"/>
    <w:basedOn w:val="NeanmlsgreinarFME"/>
    <w:rsid w:val="00016CB1"/>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EA1F4A-78C9-4301-820E-5E891244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294</TotalTime>
  <Pages>6</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80</cp:revision>
  <cp:lastPrinted>2020-02-10T13:55:00Z</cp:lastPrinted>
  <dcterms:created xsi:type="dcterms:W3CDTF">2020-01-21T10:14:00Z</dcterms:created>
  <dcterms:modified xsi:type="dcterms:W3CDTF">2020-05-05T08:24:00Z</dcterms:modified>
</cp:coreProperties>
</file>