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7F" w:rsidRPr="00692992" w:rsidRDefault="00A20D7F" w:rsidP="00C1640A">
      <w:pPr>
        <w:pStyle w:val="FyrirsgnrauFMEbaratitill"/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692992">
        <w:rPr>
          <w:rFonts w:ascii="Times New Roman" w:hAnsi="Times New Roman" w:cs="Times New Roman"/>
          <w:color w:val="000000" w:themeColor="text1"/>
          <w:lang w:val="is-IS"/>
        </w:rPr>
        <w:t>28. VIÐAUKI</w:t>
      </w:r>
    </w:p>
    <w:p w:rsidR="00A955DA" w:rsidRPr="00692992" w:rsidRDefault="00A955DA" w:rsidP="00C1640A">
      <w:pPr>
        <w:pStyle w:val="AnnexGrSeq1"/>
        <w:spacing w:line="276" w:lineRule="auto"/>
        <w:rPr>
          <w:rFonts w:cs="Times New Roman"/>
          <w:sz w:val="24"/>
          <w:szCs w:val="24"/>
          <w:lang w:val="en-GB"/>
          <w14:ligatures w14:val="none"/>
        </w:rPr>
      </w:pPr>
      <w:r w:rsidRPr="00692992">
        <w:rPr>
          <w:rFonts w:cs="Times New Roman"/>
          <w:sz w:val="24"/>
          <w:szCs w:val="24"/>
          <w:lang w:val="en-GB"/>
          <w14:ligatures w14:val="none"/>
        </w:rPr>
        <w:t>LISTI YFIR VIÐBÓTARUPPLÝSINGAR Í ENDANLEGUM SKILMÁLUM</w:t>
      </w:r>
    </w:p>
    <w:p w:rsidR="00A20D7F" w:rsidRPr="00692992" w:rsidRDefault="00A20D7F" w:rsidP="00C1640A">
      <w:pPr>
        <w:pStyle w:val="KaflaheitiFME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92992">
        <w:rPr>
          <w:rFonts w:ascii="Times New Roman" w:eastAsia="Times New Roman" w:hAnsi="Times New Roman" w:cs="Times New Roman"/>
          <w:sz w:val="20"/>
          <w:szCs w:val="20"/>
          <w:lang w:eastAsia="en-GB"/>
        </w:rPr>
        <w:t>FRAMSELD REGLUGERÐ FRAM</w:t>
      </w:r>
      <w:r w:rsidR="00A955DA" w:rsidRPr="00692992">
        <w:rPr>
          <w:rFonts w:ascii="Times New Roman" w:eastAsia="Times New Roman" w:hAnsi="Times New Roman" w:cs="Times New Roman"/>
          <w:sz w:val="20"/>
          <w:szCs w:val="20"/>
          <w:lang w:eastAsia="en-GB"/>
        </w:rPr>
        <w:t>KVÆMDASTJÓRNARINNAR (ESB) 2019/980</w:t>
      </w:r>
    </w:p>
    <w:p w:rsidR="00A20D7F" w:rsidRPr="00692992" w:rsidRDefault="00A20D7F" w:rsidP="00DB3172">
      <w:pPr>
        <w:pStyle w:val="AnnexGrSeq1"/>
        <w:rPr>
          <w:rFonts w:cs="Times New Roman"/>
          <w:b/>
        </w:rPr>
      </w:pPr>
    </w:p>
    <w:p w:rsidR="009A2CCF" w:rsidRPr="00692992" w:rsidRDefault="009A2CCF" w:rsidP="00B0004B">
      <w:pPr>
        <w:jc w:val="both"/>
        <w:rPr>
          <w:rFonts w:ascii="Times New Roman" w:hAnsi="Times New Roman" w:cs="Times New Roman"/>
          <w:sz w:val="20"/>
          <w:szCs w:val="24"/>
          <w:lang w:eastAsia="is-IS"/>
        </w:rPr>
      </w:pPr>
      <w:r w:rsidRPr="00692992">
        <w:rPr>
          <w:rFonts w:ascii="Times New Roman" w:hAnsi="Times New Roman" w:cs="Times New Roman"/>
          <w:sz w:val="20"/>
          <w:szCs w:val="24"/>
          <w:lang w:eastAsia="is-IS"/>
        </w:rPr>
        <w:t xml:space="preserve">Ef ósamræmi er á milli íslensks og ensks texta framseldrar reglugerðar framkvæmdastjórnarinnar </w:t>
      </w:r>
      <w:r w:rsidR="00A955DA" w:rsidRPr="00692992">
        <w:rPr>
          <w:rFonts w:ascii="Times New Roman" w:hAnsi="Times New Roman" w:cs="Times New Roman"/>
          <w:sz w:val="20"/>
          <w:szCs w:val="24"/>
          <w:lang w:eastAsia="is-IS"/>
        </w:rPr>
        <w:t>(ESB) 2019/980</w:t>
      </w:r>
      <w:r w:rsidRPr="00692992">
        <w:rPr>
          <w:rFonts w:ascii="Times New Roman" w:hAnsi="Times New Roman" w:cs="Times New Roman"/>
          <w:sz w:val="20"/>
          <w:szCs w:val="24"/>
          <w:lang w:eastAsia="is-IS"/>
        </w:rPr>
        <w:t xml:space="preserve"> skal skýra íslenska textann með hliðsjón af enska textanum. Ef ósamræmi er á milli textans í þessu skjali og texta framseldrar reglugerðar framkvæmdastjórnarinnar</w:t>
      </w:r>
      <w:r w:rsidR="00A955DA" w:rsidRPr="00692992">
        <w:rPr>
          <w:rFonts w:ascii="Times New Roman" w:hAnsi="Times New Roman" w:cs="Times New Roman"/>
          <w:sz w:val="20"/>
          <w:szCs w:val="24"/>
          <w:lang w:eastAsia="is-IS"/>
        </w:rPr>
        <w:t xml:space="preserve"> (ESB) 2019/980</w:t>
      </w:r>
      <w:r w:rsidRPr="00692992">
        <w:rPr>
          <w:rFonts w:ascii="Times New Roman" w:hAnsi="Times New Roman" w:cs="Times New Roman"/>
          <w:sz w:val="20"/>
          <w:szCs w:val="24"/>
          <w:lang w:eastAsia="is-IS"/>
        </w:rPr>
        <w:t xml:space="preserve"> er það texti reglugerðarinnar sem gildir. </w:t>
      </w:r>
    </w:p>
    <w:p w:rsidR="009A2CCF" w:rsidRPr="00692992" w:rsidRDefault="009A2CCF" w:rsidP="00DB3172">
      <w:pPr>
        <w:pStyle w:val="AnnexGrSeq1"/>
        <w:rPr>
          <w:rFonts w:cs="Times New Roman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709"/>
        <w:gridCol w:w="6945"/>
      </w:tblGrid>
      <w:tr w:rsidR="009A2CCF" w:rsidRPr="00692992" w:rsidTr="00C634BB">
        <w:tc>
          <w:tcPr>
            <w:tcW w:w="1276" w:type="dxa"/>
          </w:tcPr>
          <w:p w:rsidR="00A20D7F" w:rsidRPr="00692992" w:rsidRDefault="00A20D7F" w:rsidP="00A20D7F">
            <w:pPr>
              <w:pStyle w:val="Tflutexti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2992">
              <w:rPr>
                <w:rFonts w:ascii="Times New Roman" w:hAnsi="Times New Roman" w:cs="Times New Roman"/>
                <w:sz w:val="18"/>
                <w:szCs w:val="18"/>
              </w:rPr>
              <w:t>Kafli nr.</w:t>
            </w:r>
          </w:p>
          <w:p w:rsidR="009A2CCF" w:rsidRPr="00692992" w:rsidRDefault="00A20D7F" w:rsidP="00A20D7F">
            <w:pPr>
              <w:pStyle w:val="AnnexNumberedText"/>
              <w:ind w:left="0" w:firstLine="0"/>
              <w:rPr>
                <w:rFonts w:cs="Times New Roman"/>
                <w:b/>
                <w:color w:val="FF0000"/>
                <w:szCs w:val="18"/>
              </w:rPr>
            </w:pPr>
            <w:r w:rsidRPr="00692992">
              <w:rPr>
                <w:rFonts w:cs="Times New Roman"/>
                <w:szCs w:val="18"/>
              </w:rPr>
              <w:t>Bls. nr.</w:t>
            </w: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b/>
                <w:color w:val="FF0000"/>
                <w:szCs w:val="18"/>
              </w:rPr>
            </w:pP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b/>
                <w:color w:val="FF0000"/>
                <w:szCs w:val="18"/>
              </w:rPr>
            </w:pPr>
          </w:p>
        </w:tc>
      </w:tr>
      <w:tr w:rsidR="009A2CCF" w:rsidRPr="00692992" w:rsidTr="00C634BB">
        <w:tc>
          <w:tcPr>
            <w:tcW w:w="1276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1.</w:t>
            </w: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Dæmi (eitt eða fleiri) um flóknar afleiður til að útskýra áhrif undirliggjandi þáttar og eðlis viðkomandi verðbréfa á virði fjárfestingarinnar.</w:t>
            </w:r>
          </w:p>
        </w:tc>
      </w:tr>
      <w:tr w:rsidR="009A2CCF" w:rsidRPr="00692992" w:rsidTr="00C634BB">
        <w:tc>
          <w:tcPr>
            <w:tcW w:w="1276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2.</w:t>
            </w: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Viðbótarákvæði sem ekki er krafist í viðauka fyrir viðkomandi verðbréfalýsingu og varða undirliggjandi þáttinn.</w:t>
            </w:r>
          </w:p>
        </w:tc>
      </w:tr>
      <w:tr w:rsidR="009A2CCF" w:rsidRPr="00692992" w:rsidTr="00C634BB">
        <w:tc>
          <w:tcPr>
            <w:tcW w:w="1276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3.</w:t>
            </w: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Land eða lönd þar sem almenna útboðið eða almennu útboðin fara fram.</w:t>
            </w:r>
          </w:p>
        </w:tc>
      </w:tr>
      <w:tr w:rsidR="009A2CCF" w:rsidRPr="00692992" w:rsidTr="00C634BB">
        <w:tc>
          <w:tcPr>
            <w:tcW w:w="1276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4.</w:t>
            </w: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Land eða lönd þar sem sótt er um töku til viðskipta á skipulegum markaði eða mörkuðum.</w:t>
            </w:r>
          </w:p>
        </w:tc>
      </w:tr>
      <w:tr w:rsidR="009A2CCF" w:rsidRPr="00692992" w:rsidTr="00C634BB">
        <w:tc>
          <w:tcPr>
            <w:tcW w:w="1276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5.</w:t>
            </w: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Land eða lönd þar sem tilkynnt hefur verið um viðkomandi grunnlýsingu.</w:t>
            </w:r>
          </w:p>
        </w:tc>
      </w:tr>
      <w:tr w:rsidR="009A2CCF" w:rsidRPr="00692992" w:rsidTr="00C634BB">
        <w:tc>
          <w:tcPr>
            <w:tcW w:w="1276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6.</w:t>
            </w: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Hæfi hjá Seðlabanka Evrópu.</w:t>
            </w:r>
          </w:p>
        </w:tc>
      </w:tr>
      <w:tr w:rsidR="009A2CCF" w:rsidRPr="00692992" w:rsidTr="00C634BB">
        <w:tc>
          <w:tcPr>
            <w:tcW w:w="1276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7.</w:t>
            </w: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Númer flokks.</w:t>
            </w:r>
          </w:p>
        </w:tc>
      </w:tr>
      <w:tr w:rsidR="009A2CCF" w:rsidRPr="00692992" w:rsidTr="00C634BB">
        <w:tc>
          <w:tcPr>
            <w:tcW w:w="1276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</w:p>
        </w:tc>
        <w:tc>
          <w:tcPr>
            <w:tcW w:w="709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>8.</w:t>
            </w:r>
          </w:p>
        </w:tc>
        <w:tc>
          <w:tcPr>
            <w:tcW w:w="6945" w:type="dxa"/>
          </w:tcPr>
          <w:p w:rsidR="009A2CCF" w:rsidRPr="00692992" w:rsidRDefault="009A2CCF" w:rsidP="00DE4BF0">
            <w:pPr>
              <w:pStyle w:val="AnnexNumberedText"/>
              <w:ind w:left="0" w:firstLine="0"/>
              <w:rPr>
                <w:rFonts w:cs="Times New Roman"/>
                <w:szCs w:val="18"/>
              </w:rPr>
            </w:pPr>
            <w:r w:rsidRPr="00692992">
              <w:rPr>
                <w:rFonts w:cs="Times New Roman"/>
                <w:szCs w:val="18"/>
              </w:rPr>
              <w:t xml:space="preserve">Númer hluta (e. </w:t>
            </w:r>
            <w:proofErr w:type="spellStart"/>
            <w:r w:rsidRPr="00692992">
              <w:rPr>
                <w:rFonts w:cs="Times New Roman"/>
                <w:i/>
                <w:iCs/>
                <w:szCs w:val="18"/>
              </w:rPr>
              <w:t>tranche</w:t>
            </w:r>
            <w:proofErr w:type="spellEnd"/>
            <w:r w:rsidRPr="00692992">
              <w:rPr>
                <w:rFonts w:cs="Times New Roman"/>
                <w:i/>
                <w:iCs/>
                <w:szCs w:val="18"/>
              </w:rPr>
              <w:t xml:space="preserve"> </w:t>
            </w:r>
            <w:proofErr w:type="spellStart"/>
            <w:r w:rsidRPr="00692992">
              <w:rPr>
                <w:rFonts w:cs="Times New Roman"/>
                <w:i/>
                <w:iCs/>
                <w:szCs w:val="18"/>
              </w:rPr>
              <w:t>number</w:t>
            </w:r>
            <w:proofErr w:type="spellEnd"/>
            <w:r w:rsidRPr="00692992">
              <w:rPr>
                <w:rFonts w:cs="Times New Roman"/>
                <w:szCs w:val="18"/>
              </w:rPr>
              <w:t>).</w:t>
            </w:r>
          </w:p>
        </w:tc>
      </w:tr>
    </w:tbl>
    <w:p w:rsidR="0079101E" w:rsidRPr="00692992" w:rsidRDefault="0079101E" w:rsidP="00C31C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101E" w:rsidRPr="00692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7F" w:rsidRDefault="00A20D7F" w:rsidP="00A20D7F">
      <w:pPr>
        <w:spacing w:after="0" w:line="240" w:lineRule="auto"/>
      </w:pPr>
      <w:r>
        <w:separator/>
      </w:r>
    </w:p>
  </w:endnote>
  <w:endnote w:type="continuationSeparator" w:id="0">
    <w:p w:rsidR="00A20D7F" w:rsidRDefault="00A20D7F" w:rsidP="00A2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7F" w:rsidRDefault="00A20D7F" w:rsidP="00A20D7F">
      <w:pPr>
        <w:spacing w:after="0" w:line="240" w:lineRule="auto"/>
      </w:pPr>
      <w:r>
        <w:separator/>
      </w:r>
    </w:p>
  </w:footnote>
  <w:footnote w:type="continuationSeparator" w:id="0">
    <w:p w:rsidR="00A20D7F" w:rsidRDefault="00A20D7F" w:rsidP="00A2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7F" w:rsidRDefault="00A20D7F">
    <w:pPr>
      <w:pStyle w:val="Header"/>
    </w:pPr>
    <w:r>
      <w:rPr>
        <w:noProof/>
        <w:lang w:eastAsia="is-IS"/>
      </w:rPr>
      <w:drawing>
        <wp:inline distT="0" distB="0" distL="0" distR="0" wp14:anchorId="54855DB7" wp14:editId="1B69201B">
          <wp:extent cx="2867025" cy="7452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412C98"/>
    <w:rsid w:val="00650B8C"/>
    <w:rsid w:val="00692992"/>
    <w:rsid w:val="00776F43"/>
    <w:rsid w:val="0079101E"/>
    <w:rsid w:val="009A2CCF"/>
    <w:rsid w:val="00A20D7F"/>
    <w:rsid w:val="00A955DA"/>
    <w:rsid w:val="00B0004B"/>
    <w:rsid w:val="00C1640A"/>
    <w:rsid w:val="00C31C33"/>
    <w:rsid w:val="00C634BB"/>
    <w:rsid w:val="00D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605E-2543-4FA3-A0D2-1FE0EC1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2">
    <w:name w:val="line2"/>
    <w:basedOn w:val="Normal"/>
    <w:next w:val="Para"/>
    <w:qFormat/>
    <w:rsid w:val="00DB3172"/>
    <w:pPr>
      <w:widowControl w:val="0"/>
      <w:pBdr>
        <w:bottom w:val="single" w:sz="4" w:space="1" w:color="auto"/>
      </w:pBdr>
      <w:suppressAutoHyphens/>
      <w:spacing w:after="257" w:line="240" w:lineRule="exact"/>
      <w:ind w:left="4282" w:right="4282"/>
      <w:jc w:val="center"/>
    </w:pPr>
    <w:rPr>
      <w:rFonts w:ascii="Times New Roman" w:hAnsi="Times New Roman"/>
      <w:sz w:val="18"/>
    </w:rPr>
  </w:style>
  <w:style w:type="paragraph" w:customStyle="1" w:styleId="AnnexTI">
    <w:name w:val="AnnexTI"/>
    <w:basedOn w:val="Normal"/>
    <w:qFormat/>
    <w:rsid w:val="00DB3172"/>
    <w:pPr>
      <w:keepNext/>
      <w:keepLines/>
      <w:suppressAutoHyphens/>
      <w:spacing w:after="200" w:line="200" w:lineRule="exact"/>
      <w:jc w:val="center"/>
    </w:pPr>
    <w:rPr>
      <w:rFonts w:ascii="Times New Roman" w:hAnsi="Times New Roman"/>
      <w:i/>
      <w:sz w:val="16"/>
      <w14:ligatures w14:val="standard"/>
    </w:rPr>
  </w:style>
  <w:style w:type="paragraph" w:customStyle="1" w:styleId="AnnexNumberedText">
    <w:name w:val="AnnexNumberedText"/>
    <w:basedOn w:val="Normal"/>
    <w:qFormat/>
    <w:rsid w:val="00DB3172"/>
    <w:pPr>
      <w:spacing w:after="120" w:line="240" w:lineRule="exact"/>
      <w:ind w:left="280" w:hanging="280"/>
      <w:jc w:val="both"/>
    </w:pPr>
    <w:rPr>
      <w:rFonts w:ascii="Times New Roman" w:hAnsi="Times New Roman"/>
      <w:sz w:val="18"/>
      <w14:ligatures w14:val="standard"/>
    </w:rPr>
  </w:style>
  <w:style w:type="paragraph" w:customStyle="1" w:styleId="AnnexGrSeq1">
    <w:name w:val="AnnexGrSeq1"/>
    <w:basedOn w:val="Normal"/>
    <w:qFormat/>
    <w:rsid w:val="00DB3172"/>
    <w:pPr>
      <w:keepNext/>
      <w:keepLines/>
      <w:suppressAutoHyphens/>
      <w:spacing w:after="200" w:line="200" w:lineRule="exact"/>
      <w:jc w:val="center"/>
    </w:pPr>
    <w:rPr>
      <w:rFonts w:ascii="Times New Roman" w:hAnsi="Times New Roman"/>
      <w:sz w:val="16"/>
      <w14:ligatures w14:val="standard"/>
    </w:rPr>
  </w:style>
  <w:style w:type="paragraph" w:customStyle="1" w:styleId="Para">
    <w:name w:val="Para"/>
    <w:qFormat/>
    <w:rsid w:val="00DB3172"/>
    <w:pPr>
      <w:spacing w:after="200" w:line="240" w:lineRule="exact"/>
      <w:jc w:val="both"/>
    </w:pPr>
    <w:rPr>
      <w:rFonts w:ascii="Times New Roman" w:hAnsi="Times New Roman"/>
      <w:sz w:val="18"/>
      <w14:ligatures w14:val="standard"/>
    </w:rPr>
  </w:style>
  <w:style w:type="table" w:styleId="TableGrid">
    <w:name w:val="Table Grid"/>
    <w:basedOn w:val="TableNormal"/>
    <w:uiPriority w:val="39"/>
    <w:rsid w:val="009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7F"/>
  </w:style>
  <w:style w:type="paragraph" w:styleId="Footer">
    <w:name w:val="footer"/>
    <w:basedOn w:val="Normal"/>
    <w:link w:val="FooterChar"/>
    <w:uiPriority w:val="99"/>
    <w:unhideWhenUsed/>
    <w:rsid w:val="00A2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7F"/>
  </w:style>
  <w:style w:type="paragraph" w:customStyle="1" w:styleId="FyrirsgnrauFMEbaratitill">
    <w:name w:val="Fyrirsögn rauð FME (bara titill)"/>
    <w:basedOn w:val="Normal"/>
    <w:qFormat/>
    <w:rsid w:val="00A20D7F"/>
    <w:pPr>
      <w:spacing w:before="240" w:after="360" w:line="280" w:lineRule="exact"/>
      <w:jc w:val="both"/>
    </w:pPr>
    <w:rPr>
      <w:rFonts w:ascii="Syntax LT Std" w:hAnsi="Syntax LT Std"/>
      <w:b/>
      <w:color w:val="940E05"/>
      <w:sz w:val="28"/>
      <w:szCs w:val="24"/>
      <w:lang w:val="en-GB"/>
    </w:rPr>
  </w:style>
  <w:style w:type="paragraph" w:customStyle="1" w:styleId="KaflaheitiFME">
    <w:name w:val="Kaflaheiti FME"/>
    <w:basedOn w:val="Heading1"/>
    <w:next w:val="Normal"/>
    <w:qFormat/>
    <w:rsid w:val="00A20D7F"/>
    <w:pPr>
      <w:spacing w:before="120" w:after="200" w:line="290" w:lineRule="exact"/>
      <w:jc w:val="center"/>
    </w:pPr>
    <w:rPr>
      <w:rFonts w:ascii="Syntax LT Std" w:hAnsi="Syntax LT Std"/>
      <w:color w:val="auto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flutexti">
    <w:name w:val="Töflutexti"/>
    <w:basedOn w:val="Normal"/>
    <w:rsid w:val="00A20D7F"/>
    <w:pPr>
      <w:spacing w:before="120" w:after="120" w:line="200" w:lineRule="exact"/>
      <w:jc w:val="both"/>
    </w:pPr>
    <w:rPr>
      <w:rFonts w:ascii="Syntax LT Std" w:eastAsiaTheme="minorEastAsia" w:hAnsi="Syntax LT St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8FFE-BD7C-4CEC-B328-1F269254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Þröstur Bergmann</dc:creator>
  <cp:keywords/>
  <dc:description/>
  <cp:lastModifiedBy>SÍ Elsa Karen Jónasdóttir</cp:lastModifiedBy>
  <cp:revision>8</cp:revision>
  <dcterms:created xsi:type="dcterms:W3CDTF">2020-04-16T14:55:00Z</dcterms:created>
  <dcterms:modified xsi:type="dcterms:W3CDTF">2020-05-05T08:42:00Z</dcterms:modified>
</cp:coreProperties>
</file>