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4CE" w:rsidRPr="00501852" w:rsidRDefault="002A63D2" w:rsidP="00B724CE">
      <w:pPr>
        <w:pStyle w:val="FyrirsgnrauFMEbaratitill"/>
        <w:spacing w:after="120"/>
        <w:jc w:val="center"/>
        <w:rPr>
          <w:rFonts w:ascii="Times New Roman" w:hAnsi="Times New Roman" w:cs="Times New Roman"/>
          <w:color w:val="000000" w:themeColor="text1"/>
          <w:lang w:val="is-IS"/>
        </w:rPr>
      </w:pPr>
      <w:r w:rsidRPr="00501852">
        <w:rPr>
          <w:rFonts w:ascii="Times New Roman" w:hAnsi="Times New Roman" w:cs="Times New Roman"/>
          <w:color w:val="000000" w:themeColor="text1"/>
          <w:lang w:val="is-IS"/>
        </w:rPr>
        <w:t>27</w:t>
      </w:r>
      <w:r w:rsidR="00B724CE" w:rsidRPr="00501852">
        <w:rPr>
          <w:rFonts w:ascii="Times New Roman" w:hAnsi="Times New Roman" w:cs="Times New Roman"/>
          <w:color w:val="000000" w:themeColor="text1"/>
          <w:lang w:val="is-IS"/>
        </w:rPr>
        <w:t>. VIÐAUKI</w:t>
      </w:r>
    </w:p>
    <w:p w:rsidR="00931E85" w:rsidRPr="00501852" w:rsidRDefault="00931E85" w:rsidP="00931E85">
      <w:pPr>
        <w:pStyle w:val="Meginml"/>
        <w:jc w:val="center"/>
        <w:rPr>
          <w:rFonts w:ascii="Times New Roman" w:hAnsi="Times New Roman" w:cs="Times New Roman"/>
          <w:sz w:val="24"/>
        </w:rPr>
      </w:pPr>
      <w:r w:rsidRPr="00501852">
        <w:rPr>
          <w:rFonts w:ascii="Times New Roman" w:hAnsi="Times New Roman" w:cs="Times New Roman"/>
          <w:sz w:val="24"/>
        </w:rPr>
        <w:t xml:space="preserve">VERÐBRÉFALÝSING FYRIR ESB-VAXTARLÝSINGU FYRIR </w:t>
      </w:r>
      <w:r w:rsidRPr="00501852">
        <w:rPr>
          <w:rFonts w:ascii="Times New Roman" w:hAnsi="Times New Roman" w:cs="Times New Roman"/>
          <w:sz w:val="24"/>
        </w:rPr>
        <w:br/>
        <w:t>VERÐBRÉF SEM EKKI ERU HLUTABRÉFATENGD</w:t>
      </w:r>
    </w:p>
    <w:p w:rsidR="002A63D2" w:rsidRPr="00501852" w:rsidRDefault="002A63D2" w:rsidP="002A63D2">
      <w:pPr>
        <w:pStyle w:val="KaflaheitiFME"/>
        <w:rPr>
          <w:rFonts w:ascii="Times New Roman" w:eastAsia="Times New Roman" w:hAnsi="Times New Roman" w:cs="Times New Roman"/>
          <w:sz w:val="20"/>
          <w:szCs w:val="20"/>
          <w:lang w:eastAsia="en-GB"/>
        </w:rPr>
      </w:pPr>
      <w:r w:rsidRPr="00501852">
        <w:rPr>
          <w:rFonts w:ascii="Times New Roman" w:eastAsia="Times New Roman" w:hAnsi="Times New Roman" w:cs="Times New Roman"/>
          <w:sz w:val="20"/>
          <w:szCs w:val="20"/>
          <w:lang w:eastAsia="en-GB"/>
        </w:rPr>
        <w:t>FRAMSELD REGLUGERÐ FRAMKVÆMDASTJÓRNARINNAR</w:t>
      </w:r>
      <w:r w:rsidR="00931E85" w:rsidRPr="00501852">
        <w:rPr>
          <w:rFonts w:ascii="Times New Roman" w:eastAsia="Times New Roman" w:hAnsi="Times New Roman" w:cs="Times New Roman"/>
          <w:sz w:val="20"/>
          <w:szCs w:val="20"/>
          <w:lang w:eastAsia="en-GB"/>
        </w:rPr>
        <w:t xml:space="preserve"> (ESB) 2019/980</w:t>
      </w:r>
    </w:p>
    <w:p w:rsidR="00221F37" w:rsidRPr="00501852" w:rsidRDefault="00221F37" w:rsidP="00221F37">
      <w:pPr>
        <w:pStyle w:val="Meginml"/>
        <w:jc w:val="center"/>
        <w:rPr>
          <w:rFonts w:ascii="Times New Roman" w:hAnsi="Times New Roman" w:cs="Times New Roman"/>
        </w:rPr>
      </w:pPr>
    </w:p>
    <w:p w:rsidR="00D6147D" w:rsidRPr="00501852" w:rsidRDefault="00D6147D" w:rsidP="007B4FD3">
      <w:pPr>
        <w:pStyle w:val="Meginml"/>
        <w:rPr>
          <w:rFonts w:ascii="Times New Roman" w:hAnsi="Times New Roman" w:cs="Times New Roman"/>
          <w:lang w:val="is-IS" w:eastAsia="is-IS"/>
        </w:rPr>
      </w:pPr>
      <w:r w:rsidRPr="00501852">
        <w:rPr>
          <w:rFonts w:ascii="Times New Roman" w:hAnsi="Times New Roman" w:cs="Times New Roman"/>
          <w:lang w:val="is-IS" w:eastAsia="is-IS"/>
        </w:rPr>
        <w:t xml:space="preserve">Ef ósamræmi er á milli íslensks og ensks texta framseldrar reglugerðar framkvæmdastjórnarinnar </w:t>
      </w:r>
      <w:r w:rsidR="00931E85" w:rsidRPr="00501852">
        <w:rPr>
          <w:rFonts w:ascii="Times New Roman" w:hAnsi="Times New Roman" w:cs="Times New Roman"/>
          <w:lang w:val="is-IS" w:eastAsia="is-IS"/>
        </w:rPr>
        <w:t>(ESB) 2019/980</w:t>
      </w:r>
      <w:r w:rsidRPr="00501852">
        <w:rPr>
          <w:rFonts w:ascii="Times New Roman" w:hAnsi="Times New Roman" w:cs="Times New Roman"/>
          <w:lang w:val="is-IS" w:eastAsia="is-IS"/>
        </w:rPr>
        <w:t xml:space="preserve"> skal skýra íslenska textann með hliðsjón af enska textanum. Ef ósamræmi er á milli textans í þessu skjali og texta framseldrar reglugerðar framkvæmdastjórnarinnar</w:t>
      </w:r>
      <w:r w:rsidR="00931E85" w:rsidRPr="00501852">
        <w:rPr>
          <w:rFonts w:ascii="Times New Roman" w:hAnsi="Times New Roman" w:cs="Times New Roman"/>
          <w:lang w:val="is-IS" w:eastAsia="is-IS"/>
        </w:rPr>
        <w:t xml:space="preserve"> (ESB) 2019/980</w:t>
      </w:r>
      <w:r w:rsidRPr="00501852">
        <w:rPr>
          <w:rFonts w:ascii="Times New Roman" w:hAnsi="Times New Roman" w:cs="Times New Roman"/>
          <w:lang w:val="is-IS" w:eastAsia="is-IS"/>
        </w:rPr>
        <w:t xml:space="preserve"> er það texti reglugerðarinnar sem gildir. </w:t>
      </w:r>
    </w:p>
    <w:p w:rsidR="007B4FD3" w:rsidRPr="00501852" w:rsidRDefault="007B4FD3" w:rsidP="007F6312">
      <w:pPr>
        <w:pStyle w:val="Meginml"/>
        <w:rPr>
          <w:rFonts w:ascii="Times New Roman" w:hAnsi="Times New Roman" w:cs="Times New Roman"/>
          <w:sz w:val="18"/>
          <w:szCs w:val="18"/>
          <w:lang w:val="is-IS"/>
        </w:rPr>
      </w:pPr>
    </w:p>
    <w:tbl>
      <w:tblPr>
        <w:tblStyle w:val="TableGrid"/>
        <w:tblW w:w="9360" w:type="dxa"/>
        <w:tblBorders>
          <w:left w:val="none" w:sz="0" w:space="0" w:color="auto"/>
          <w:right w:val="none" w:sz="0" w:space="0" w:color="auto"/>
        </w:tblBorders>
        <w:tblLook w:val="04A0" w:firstRow="1" w:lastRow="0" w:firstColumn="1" w:lastColumn="0" w:noHBand="0" w:noVBand="1"/>
      </w:tblPr>
      <w:tblGrid>
        <w:gridCol w:w="838"/>
        <w:gridCol w:w="7"/>
        <w:gridCol w:w="1149"/>
        <w:gridCol w:w="6380"/>
        <w:gridCol w:w="986"/>
      </w:tblGrid>
      <w:tr w:rsidR="006F4DC8" w:rsidRPr="00501852" w:rsidTr="00501852">
        <w:trPr>
          <w:trHeight w:val="567"/>
        </w:trPr>
        <w:tc>
          <w:tcPr>
            <w:tcW w:w="845" w:type="dxa"/>
            <w:gridSpan w:val="2"/>
          </w:tcPr>
          <w:p w:rsidR="006F4DC8" w:rsidRPr="00501852" w:rsidRDefault="006F4DC8" w:rsidP="00FE78CE">
            <w:pPr>
              <w:pStyle w:val="Tflutexti"/>
              <w:spacing w:before="0" w:after="0"/>
              <w:jc w:val="left"/>
              <w:rPr>
                <w:rFonts w:ascii="Times New Roman" w:hAnsi="Times New Roman" w:cs="Times New Roman"/>
                <w:sz w:val="18"/>
                <w:szCs w:val="18"/>
              </w:rPr>
            </w:pPr>
            <w:r w:rsidRPr="00501852">
              <w:rPr>
                <w:rFonts w:ascii="Times New Roman" w:hAnsi="Times New Roman" w:cs="Times New Roman"/>
                <w:sz w:val="18"/>
                <w:szCs w:val="18"/>
              </w:rPr>
              <w:t>Kafli nr.</w:t>
            </w:r>
          </w:p>
          <w:p w:rsidR="006F4DC8" w:rsidRPr="00501852" w:rsidRDefault="006F4DC8" w:rsidP="00FE78CE">
            <w:pPr>
              <w:pStyle w:val="Tflutexti"/>
              <w:spacing w:before="0" w:after="0" w:line="240" w:lineRule="auto"/>
              <w:jc w:val="left"/>
              <w:rPr>
                <w:rFonts w:ascii="Times New Roman" w:hAnsi="Times New Roman" w:cs="Times New Roman"/>
                <w:sz w:val="18"/>
                <w:szCs w:val="18"/>
              </w:rPr>
            </w:pPr>
            <w:r w:rsidRPr="00501852">
              <w:rPr>
                <w:rFonts w:ascii="Times New Roman" w:hAnsi="Times New Roman" w:cs="Times New Roman"/>
                <w:sz w:val="18"/>
                <w:szCs w:val="18"/>
              </w:rPr>
              <w:t>Bls. nr.</w:t>
            </w:r>
          </w:p>
        </w:tc>
        <w:tc>
          <w:tcPr>
            <w:tcW w:w="1149" w:type="dxa"/>
          </w:tcPr>
          <w:p w:rsidR="006F4DC8" w:rsidRPr="00501852" w:rsidRDefault="006F4DC8" w:rsidP="00E81BDD">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1. ÞÁTTUR</w:t>
            </w:r>
          </w:p>
        </w:tc>
        <w:tc>
          <w:tcPr>
            <w:tcW w:w="7366" w:type="dxa"/>
            <w:gridSpan w:val="2"/>
          </w:tcPr>
          <w:p w:rsidR="006F4DC8" w:rsidRPr="00501852" w:rsidRDefault="006F4DC8" w:rsidP="00E81BDD">
            <w:pPr>
              <w:pStyle w:val="Tflutexti"/>
              <w:spacing w:after="0"/>
              <w:rPr>
                <w:rFonts w:ascii="Times New Roman" w:hAnsi="Times New Roman" w:cs="Times New Roman"/>
                <w:sz w:val="18"/>
                <w:szCs w:val="18"/>
              </w:rPr>
            </w:pPr>
            <w:r w:rsidRPr="00501852">
              <w:rPr>
                <w:rFonts w:ascii="Times New Roman" w:hAnsi="Times New Roman" w:cs="Times New Roman"/>
                <w:sz w:val="18"/>
                <w:szCs w:val="18"/>
              </w:rPr>
              <w:t>TILGANGUR, AÐILAR SEM BERA ÁBYRGÐ, UPPLÝSINGAR FRÁ ÞRIÐJU AÐILUM, SKÝRSLUR SÉRFRÆÐINGA OG STAÐFESTING LÖGBÆRS YFIRVALDS</w:t>
            </w:r>
          </w:p>
          <w:p w:rsidR="006F4DC8" w:rsidRPr="00501852" w:rsidRDefault="006F4DC8" w:rsidP="006F4DC8">
            <w:pPr>
              <w:pStyle w:val="Tflutexti"/>
              <w:spacing w:line="240" w:lineRule="auto"/>
              <w:rPr>
                <w:rFonts w:ascii="Times New Roman" w:hAnsi="Times New Roman" w:cs="Times New Roman"/>
                <w:sz w:val="18"/>
                <w:szCs w:val="18"/>
              </w:rPr>
            </w:pPr>
            <w:r w:rsidRPr="00501852">
              <w:rPr>
                <w:rFonts w:ascii="Times New Roman" w:hAnsi="Times New Roman" w:cs="Times New Roman"/>
                <w:i/>
                <w:iCs/>
                <w:sz w:val="18"/>
                <w:szCs w:val="18"/>
              </w:rPr>
              <w:t>Í þessum þætti skal veita upplýsingar um þá aðila sem bera ábyrgð á efni verðbréfalýsingar fyrir ESB-vaxtarlýsingu. Tilgangur þessa þáttar er að veita fjárfestum vissu um áreiðanleika upplýsinganna sem fram koma í lýsingunni. Auk þess skal í þessum þætti veita upplýsingar um hagsmuni aðila sem taka þátt í útboðinu, ástæður útboðsins, notkun ágóða og kostnað við útboðið. Ennfremur, veitir þessi þáttur upplýsingar um lagagrundvöll verðbréfalýsingar-innar fyrir ESB-vaxtarlýsingu og staðfestingu lögbærs yfirvalds á henni.</w:t>
            </w:r>
          </w:p>
        </w:tc>
      </w:tr>
      <w:tr w:rsidR="00E81BDD" w:rsidRPr="00501852" w:rsidTr="00501852">
        <w:trPr>
          <w:trHeight w:val="567"/>
        </w:trPr>
        <w:tc>
          <w:tcPr>
            <w:tcW w:w="845" w:type="dxa"/>
            <w:gridSpan w:val="2"/>
          </w:tcPr>
          <w:p w:rsidR="00E81BDD" w:rsidRPr="00501852" w:rsidRDefault="00E81BDD" w:rsidP="00E81BDD">
            <w:pPr>
              <w:pStyle w:val="Tflutexti"/>
              <w:spacing w:before="240" w:line="240" w:lineRule="auto"/>
              <w:rPr>
                <w:rFonts w:ascii="Times New Roman" w:hAnsi="Times New Roman" w:cs="Times New Roman"/>
                <w:sz w:val="18"/>
                <w:szCs w:val="18"/>
              </w:rPr>
            </w:pPr>
          </w:p>
        </w:tc>
        <w:tc>
          <w:tcPr>
            <w:tcW w:w="1149" w:type="dxa"/>
          </w:tcPr>
          <w:p w:rsidR="00E81BDD" w:rsidRPr="00501852" w:rsidRDefault="00E81BDD" w:rsidP="00E81BDD">
            <w:pPr>
              <w:pStyle w:val="Tflutexti"/>
              <w:spacing w:before="240" w:line="240" w:lineRule="auto"/>
              <w:rPr>
                <w:rFonts w:ascii="Times New Roman" w:hAnsi="Times New Roman" w:cs="Times New Roman"/>
                <w:sz w:val="18"/>
                <w:szCs w:val="18"/>
              </w:rPr>
            </w:pPr>
            <w:r w:rsidRPr="00501852">
              <w:rPr>
                <w:rFonts w:ascii="Times New Roman" w:hAnsi="Times New Roman" w:cs="Times New Roman"/>
                <w:sz w:val="18"/>
                <w:szCs w:val="18"/>
              </w:rPr>
              <w:t>Liður 1.1.</w:t>
            </w:r>
          </w:p>
        </w:tc>
        <w:tc>
          <w:tcPr>
            <w:tcW w:w="6380" w:type="dxa"/>
          </w:tcPr>
          <w:p w:rsidR="00E81BDD" w:rsidRPr="00501852" w:rsidRDefault="00E81BDD" w:rsidP="00E81BDD">
            <w:pPr>
              <w:pStyle w:val="Tflutexti"/>
              <w:rPr>
                <w:rFonts w:ascii="Times New Roman" w:hAnsi="Times New Roman" w:cs="Times New Roman"/>
                <w:sz w:val="18"/>
                <w:szCs w:val="18"/>
              </w:rPr>
            </w:pPr>
            <w:r w:rsidRPr="00501852">
              <w:rPr>
                <w:rFonts w:ascii="Times New Roman" w:hAnsi="Times New Roman" w:cs="Times New Roman"/>
                <w:sz w:val="18"/>
                <w:szCs w:val="18"/>
              </w:rPr>
              <w:t>Tilgreina skal alla þá sem bera ábyrgð á þeim upplýsingum eða einhverjum hlutum þeirra sem veittar eru í verðbréfalýsingunni og skal í síðara tilfellinu tilgreina slíka hluta upplýsinganna. Sé um að ræða einstaklinga, þ.m.t. aðila í stjórn, framkvæmdastjórn eða eftirlitsstjórn útgefanda, skulu þeir tilgreindir með nafni og stöðuheiti. Sé um að ræða lögaðila skal tilgreina nafn þeirra og skráða skrifstofu.</w:t>
            </w:r>
          </w:p>
        </w:tc>
        <w:tc>
          <w:tcPr>
            <w:tcW w:w="986" w:type="dxa"/>
          </w:tcPr>
          <w:p w:rsidR="00E81BDD" w:rsidRPr="00501852" w:rsidRDefault="00E81BDD" w:rsidP="00282CF3">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Flokkur A</w:t>
            </w:r>
          </w:p>
        </w:tc>
      </w:tr>
      <w:tr w:rsidR="00E81BDD" w:rsidRPr="00501852" w:rsidTr="00501852">
        <w:trPr>
          <w:trHeight w:val="567"/>
        </w:trPr>
        <w:tc>
          <w:tcPr>
            <w:tcW w:w="845" w:type="dxa"/>
            <w:gridSpan w:val="2"/>
          </w:tcPr>
          <w:p w:rsidR="00E81BDD" w:rsidRPr="00501852" w:rsidRDefault="00E81BDD" w:rsidP="00E81BDD">
            <w:pPr>
              <w:pStyle w:val="Tflutexti"/>
              <w:spacing w:before="240" w:line="240" w:lineRule="auto"/>
              <w:rPr>
                <w:rFonts w:ascii="Times New Roman" w:hAnsi="Times New Roman" w:cs="Times New Roman"/>
                <w:sz w:val="18"/>
                <w:szCs w:val="18"/>
              </w:rPr>
            </w:pPr>
          </w:p>
        </w:tc>
        <w:tc>
          <w:tcPr>
            <w:tcW w:w="1149" w:type="dxa"/>
          </w:tcPr>
          <w:p w:rsidR="00E81BDD" w:rsidRPr="00501852" w:rsidRDefault="00E81BDD" w:rsidP="00E81BDD">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Liður 1.2.</w:t>
            </w:r>
          </w:p>
        </w:tc>
        <w:tc>
          <w:tcPr>
            <w:tcW w:w="6380" w:type="dxa"/>
          </w:tcPr>
          <w:p w:rsidR="00E81BDD" w:rsidRPr="00501852" w:rsidRDefault="00E81BDD" w:rsidP="00E81BDD">
            <w:pPr>
              <w:pStyle w:val="Tflutexti"/>
              <w:rPr>
                <w:rFonts w:ascii="Times New Roman" w:hAnsi="Times New Roman" w:cs="Times New Roman"/>
                <w:sz w:val="18"/>
                <w:szCs w:val="18"/>
              </w:rPr>
            </w:pPr>
            <w:r w:rsidRPr="00501852">
              <w:rPr>
                <w:rFonts w:ascii="Times New Roman" w:hAnsi="Times New Roman" w:cs="Times New Roman"/>
                <w:sz w:val="18"/>
                <w:szCs w:val="18"/>
              </w:rPr>
              <w:t>Yfirlýsing þeirra sem bera ábyrgð á verðbréfalýsingunni þess efnis að samkvæmt þeirra bestu vitund séu upplýsingarnar í verðbréfalýsingunni í samræmi við staðreyndir og að engum upplýsingum sé sleppt úr verðbréfalýsingunni sem gætu haft áhrif á áreiðanleika hennar.</w:t>
            </w:r>
          </w:p>
          <w:p w:rsidR="00E81BDD" w:rsidRPr="00501852" w:rsidRDefault="00E81BDD" w:rsidP="00E81BDD">
            <w:pPr>
              <w:pStyle w:val="Tflutexti"/>
              <w:rPr>
                <w:rFonts w:ascii="Times New Roman" w:hAnsi="Times New Roman" w:cs="Times New Roman"/>
                <w:sz w:val="18"/>
                <w:szCs w:val="18"/>
              </w:rPr>
            </w:pPr>
            <w:r w:rsidRPr="00501852">
              <w:rPr>
                <w:rFonts w:ascii="Times New Roman" w:hAnsi="Times New Roman" w:cs="Times New Roman"/>
                <w:sz w:val="18"/>
                <w:szCs w:val="18"/>
              </w:rPr>
              <w:t>Eftir atvikum, yfirlýsing þeirra sem bera ábyrgð á tilteknum hlutum verðbréfalýsingarinnar þess efnis að samkvæmt þeirra bestu vitund séu upplýsingarnar í þeim hlutum verðbréfalýsingarinnar sem þeir bera ábyrgð á í samræmi við staðreyndir og að engum upplýsingum sé sleppt úr þeim hlutum sem gætu haft áhrif á áreiðanleika hennar.</w:t>
            </w:r>
          </w:p>
        </w:tc>
        <w:tc>
          <w:tcPr>
            <w:tcW w:w="986" w:type="dxa"/>
          </w:tcPr>
          <w:p w:rsidR="00E81BDD" w:rsidRPr="00501852" w:rsidRDefault="00E81BDD" w:rsidP="00282CF3">
            <w:pPr>
              <w:pStyle w:val="Tflutexti"/>
              <w:spacing w:after="0" w:line="240" w:lineRule="auto"/>
              <w:rPr>
                <w:rFonts w:ascii="Times New Roman" w:hAnsi="Times New Roman" w:cs="Times New Roman"/>
                <w:sz w:val="18"/>
                <w:szCs w:val="18"/>
              </w:rPr>
            </w:pPr>
            <w:r w:rsidRPr="00501852">
              <w:rPr>
                <w:rFonts w:ascii="Times New Roman" w:hAnsi="Times New Roman" w:cs="Times New Roman"/>
                <w:sz w:val="18"/>
                <w:szCs w:val="18"/>
              </w:rPr>
              <w:t>Flokkur A</w:t>
            </w:r>
          </w:p>
        </w:tc>
      </w:tr>
      <w:tr w:rsidR="00E81BDD" w:rsidRPr="00501852" w:rsidTr="00501852">
        <w:trPr>
          <w:trHeight w:val="567"/>
        </w:trPr>
        <w:tc>
          <w:tcPr>
            <w:tcW w:w="845" w:type="dxa"/>
            <w:gridSpan w:val="2"/>
          </w:tcPr>
          <w:p w:rsidR="00E81BDD" w:rsidRPr="00501852" w:rsidRDefault="00E81BDD" w:rsidP="00E81BDD">
            <w:pPr>
              <w:pStyle w:val="Tflutexti"/>
              <w:spacing w:before="240" w:line="240" w:lineRule="auto"/>
              <w:rPr>
                <w:rFonts w:ascii="Times New Roman" w:hAnsi="Times New Roman" w:cs="Times New Roman"/>
                <w:sz w:val="18"/>
                <w:szCs w:val="18"/>
              </w:rPr>
            </w:pPr>
          </w:p>
        </w:tc>
        <w:tc>
          <w:tcPr>
            <w:tcW w:w="1149" w:type="dxa"/>
          </w:tcPr>
          <w:p w:rsidR="00E81BDD" w:rsidRPr="00501852" w:rsidRDefault="00E81BDD" w:rsidP="00E81BDD">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Liður 1.3.</w:t>
            </w:r>
          </w:p>
        </w:tc>
        <w:tc>
          <w:tcPr>
            <w:tcW w:w="6380" w:type="dxa"/>
          </w:tcPr>
          <w:p w:rsidR="00E81BDD" w:rsidRPr="00501852" w:rsidRDefault="00E81BDD" w:rsidP="00E81BDD">
            <w:pPr>
              <w:pStyle w:val="Tflutexti"/>
              <w:rPr>
                <w:rFonts w:ascii="Times New Roman" w:hAnsi="Times New Roman" w:cs="Times New Roman"/>
                <w:sz w:val="18"/>
                <w:szCs w:val="18"/>
              </w:rPr>
            </w:pPr>
            <w:r w:rsidRPr="00501852">
              <w:rPr>
                <w:rFonts w:ascii="Times New Roman" w:hAnsi="Times New Roman" w:cs="Times New Roman"/>
                <w:sz w:val="18"/>
                <w:szCs w:val="18"/>
              </w:rPr>
              <w:t>Hafi verðbréfalýsing að geyma yfirlýsingu eða greinargerð frá sérfræðingi skal veita eftir</w:t>
            </w:r>
            <w:r w:rsidR="00FE78CE" w:rsidRPr="00501852">
              <w:rPr>
                <w:rFonts w:ascii="Times New Roman" w:hAnsi="Times New Roman" w:cs="Times New Roman"/>
                <w:sz w:val="18"/>
                <w:szCs w:val="18"/>
              </w:rPr>
              <w:t>-</w:t>
            </w:r>
            <w:r w:rsidRPr="00501852">
              <w:rPr>
                <w:rFonts w:ascii="Times New Roman" w:hAnsi="Times New Roman" w:cs="Times New Roman"/>
                <w:sz w:val="18"/>
                <w:szCs w:val="18"/>
              </w:rPr>
              <w:t>farandi upplýsingar um þann aðila:</w:t>
            </w:r>
          </w:p>
          <w:p w:rsidR="00E81BDD" w:rsidRPr="00501852" w:rsidRDefault="00E81BDD" w:rsidP="00FE78CE">
            <w:pPr>
              <w:pStyle w:val="Tflutexti"/>
              <w:tabs>
                <w:tab w:val="left" w:pos="0"/>
              </w:tabs>
              <w:spacing w:after="0"/>
              <w:ind w:left="302" w:hanging="283"/>
              <w:rPr>
                <w:rFonts w:ascii="Times New Roman" w:hAnsi="Times New Roman" w:cs="Times New Roman"/>
                <w:sz w:val="18"/>
                <w:szCs w:val="18"/>
              </w:rPr>
            </w:pPr>
            <w:r w:rsidRPr="00501852">
              <w:rPr>
                <w:rFonts w:ascii="Times New Roman" w:hAnsi="Times New Roman" w:cs="Times New Roman"/>
                <w:sz w:val="18"/>
                <w:szCs w:val="18"/>
              </w:rPr>
              <w:t>a)</w:t>
            </w:r>
            <w:r w:rsidRPr="00501852">
              <w:rPr>
                <w:rFonts w:ascii="Times New Roman" w:hAnsi="Times New Roman" w:cs="Times New Roman"/>
                <w:sz w:val="18"/>
                <w:szCs w:val="18"/>
              </w:rPr>
              <w:tab/>
              <w:t>nafn,</w:t>
            </w:r>
          </w:p>
          <w:p w:rsidR="00E81BDD" w:rsidRPr="00501852" w:rsidRDefault="00E81BDD" w:rsidP="00FE78CE">
            <w:pPr>
              <w:pStyle w:val="Tflutexti"/>
              <w:tabs>
                <w:tab w:val="left" w:pos="0"/>
              </w:tabs>
              <w:spacing w:before="0" w:after="0"/>
              <w:ind w:left="302" w:hanging="283"/>
              <w:rPr>
                <w:rFonts w:ascii="Times New Roman" w:hAnsi="Times New Roman" w:cs="Times New Roman"/>
                <w:sz w:val="18"/>
                <w:szCs w:val="18"/>
              </w:rPr>
            </w:pPr>
            <w:r w:rsidRPr="00501852">
              <w:rPr>
                <w:rFonts w:ascii="Times New Roman" w:hAnsi="Times New Roman" w:cs="Times New Roman"/>
                <w:sz w:val="18"/>
                <w:szCs w:val="18"/>
              </w:rPr>
              <w:t>b)</w:t>
            </w:r>
            <w:r w:rsidRPr="00501852">
              <w:rPr>
                <w:rFonts w:ascii="Times New Roman" w:hAnsi="Times New Roman" w:cs="Times New Roman"/>
                <w:sz w:val="18"/>
                <w:szCs w:val="18"/>
              </w:rPr>
              <w:tab/>
              <w:t>heimilisfang starfsstöðvar,</w:t>
            </w:r>
          </w:p>
          <w:p w:rsidR="00E81BDD" w:rsidRPr="00501852" w:rsidRDefault="00E81BDD" w:rsidP="00FE78CE">
            <w:pPr>
              <w:pStyle w:val="Tflutexti"/>
              <w:tabs>
                <w:tab w:val="left" w:pos="0"/>
              </w:tabs>
              <w:spacing w:before="0" w:after="0"/>
              <w:ind w:left="302" w:hanging="283"/>
              <w:rPr>
                <w:rFonts w:ascii="Times New Roman" w:hAnsi="Times New Roman" w:cs="Times New Roman"/>
                <w:sz w:val="18"/>
                <w:szCs w:val="18"/>
              </w:rPr>
            </w:pPr>
            <w:r w:rsidRPr="00501852">
              <w:rPr>
                <w:rFonts w:ascii="Times New Roman" w:hAnsi="Times New Roman" w:cs="Times New Roman"/>
                <w:sz w:val="18"/>
                <w:szCs w:val="18"/>
              </w:rPr>
              <w:t>c)</w:t>
            </w:r>
            <w:r w:rsidRPr="00501852">
              <w:rPr>
                <w:rFonts w:ascii="Times New Roman" w:hAnsi="Times New Roman" w:cs="Times New Roman"/>
                <w:sz w:val="18"/>
                <w:szCs w:val="18"/>
              </w:rPr>
              <w:tab/>
              <w:t>menntun og hæfi,</w:t>
            </w:r>
          </w:p>
          <w:p w:rsidR="00E81BDD" w:rsidRPr="00501852" w:rsidRDefault="00E81BDD" w:rsidP="00FE78CE">
            <w:pPr>
              <w:pStyle w:val="Tflutexti"/>
              <w:spacing w:before="0"/>
              <w:ind w:left="302" w:hanging="283"/>
              <w:rPr>
                <w:rFonts w:ascii="Times New Roman" w:hAnsi="Times New Roman" w:cs="Times New Roman"/>
                <w:sz w:val="18"/>
                <w:szCs w:val="18"/>
              </w:rPr>
            </w:pPr>
            <w:r w:rsidRPr="00501852">
              <w:rPr>
                <w:rFonts w:ascii="Times New Roman" w:hAnsi="Times New Roman" w:cs="Times New Roman"/>
                <w:sz w:val="18"/>
                <w:szCs w:val="18"/>
              </w:rPr>
              <w:t>d)</w:t>
            </w:r>
            <w:r w:rsidR="00FE78CE" w:rsidRPr="00501852">
              <w:rPr>
                <w:rFonts w:ascii="Times New Roman" w:hAnsi="Times New Roman" w:cs="Times New Roman"/>
                <w:sz w:val="18"/>
                <w:szCs w:val="18"/>
              </w:rPr>
              <w:t xml:space="preserve"> </w:t>
            </w:r>
            <w:r w:rsidR="00FE78CE" w:rsidRPr="00501852">
              <w:rPr>
                <w:rFonts w:ascii="Times New Roman" w:hAnsi="Times New Roman" w:cs="Times New Roman"/>
                <w:sz w:val="18"/>
                <w:szCs w:val="18"/>
              </w:rPr>
              <w:tab/>
            </w:r>
            <w:r w:rsidRPr="00501852">
              <w:rPr>
                <w:rFonts w:ascii="Times New Roman" w:hAnsi="Times New Roman" w:cs="Times New Roman"/>
                <w:sz w:val="18"/>
                <w:szCs w:val="18"/>
              </w:rPr>
              <w:t>verulegir hagsmunir sem hann á að gæta í útgefanda, ef einhverjir eru.</w:t>
            </w:r>
          </w:p>
          <w:p w:rsidR="00E81BDD" w:rsidRPr="00501852" w:rsidRDefault="00E81BDD" w:rsidP="00E81BDD">
            <w:pPr>
              <w:pStyle w:val="Tflutexti"/>
              <w:rPr>
                <w:rFonts w:ascii="Times New Roman" w:hAnsi="Times New Roman" w:cs="Times New Roman"/>
                <w:sz w:val="18"/>
                <w:szCs w:val="18"/>
              </w:rPr>
            </w:pPr>
            <w:r w:rsidRPr="00501852">
              <w:rPr>
                <w:rFonts w:ascii="Times New Roman" w:hAnsi="Times New Roman" w:cs="Times New Roman"/>
                <w:sz w:val="18"/>
                <w:szCs w:val="18"/>
              </w:rPr>
              <w:t>Hafi yfirlýsingin eða greinargerðin verið gerð að beiðni útgefandans skal taka fram að sú yfirlýsing eða greinargerð fylgi með í verðbréfalýsingunni með samþykki þess aðila sem heimilaði efni þess hluta verðbréfalýsingarinnar vegna lýsingarinnar.</w:t>
            </w:r>
          </w:p>
        </w:tc>
        <w:tc>
          <w:tcPr>
            <w:tcW w:w="986" w:type="dxa"/>
          </w:tcPr>
          <w:p w:rsidR="00E81BDD" w:rsidRPr="00501852" w:rsidRDefault="00E81BDD" w:rsidP="00282CF3">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Flokkur A</w:t>
            </w:r>
          </w:p>
        </w:tc>
      </w:tr>
      <w:tr w:rsidR="00E81BDD" w:rsidRPr="00501852" w:rsidTr="00501852">
        <w:trPr>
          <w:trHeight w:val="567"/>
        </w:trPr>
        <w:tc>
          <w:tcPr>
            <w:tcW w:w="845" w:type="dxa"/>
            <w:gridSpan w:val="2"/>
          </w:tcPr>
          <w:p w:rsidR="00E81BDD" w:rsidRPr="00501852" w:rsidRDefault="00E81BDD" w:rsidP="00E81BDD">
            <w:pPr>
              <w:pStyle w:val="Tflutexti"/>
              <w:spacing w:before="240" w:line="240" w:lineRule="auto"/>
              <w:rPr>
                <w:rFonts w:ascii="Times New Roman" w:hAnsi="Times New Roman" w:cs="Times New Roman"/>
                <w:sz w:val="18"/>
                <w:szCs w:val="18"/>
              </w:rPr>
            </w:pPr>
          </w:p>
        </w:tc>
        <w:tc>
          <w:tcPr>
            <w:tcW w:w="1149" w:type="dxa"/>
          </w:tcPr>
          <w:p w:rsidR="00E81BDD" w:rsidRPr="00501852" w:rsidRDefault="00E81BDD" w:rsidP="00A51945">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Liður 1.4.</w:t>
            </w:r>
          </w:p>
        </w:tc>
        <w:tc>
          <w:tcPr>
            <w:tcW w:w="6380" w:type="dxa"/>
          </w:tcPr>
          <w:p w:rsidR="00E81BDD" w:rsidRPr="00501852" w:rsidRDefault="00E81BDD" w:rsidP="00E81BDD">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Séu upplýsingar fengnar frá þriðja aðila skal útgefandi staðfesta að þær hafi verið endurgerðar með réttum hætti og, að því marki sem honum er kunnugt um og unnt að staðreyna á grundvelli þeirra upplýsinga sem þriðji aðilinn hafi birt, að engum staðreyndum hafi verið sleppt sem myndu gera upplýsingarnar ónákvæmar eða villandi. Auk þess skal tilgreina uppruna upplýsinganna.</w:t>
            </w:r>
          </w:p>
        </w:tc>
        <w:tc>
          <w:tcPr>
            <w:tcW w:w="986" w:type="dxa"/>
          </w:tcPr>
          <w:p w:rsidR="00E81BDD" w:rsidRPr="00501852" w:rsidRDefault="00E81BDD" w:rsidP="00282CF3">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Flokkur C</w:t>
            </w:r>
          </w:p>
        </w:tc>
      </w:tr>
      <w:tr w:rsidR="0059412F" w:rsidRPr="00501852" w:rsidTr="00501852">
        <w:trPr>
          <w:trHeight w:val="567"/>
        </w:trPr>
        <w:tc>
          <w:tcPr>
            <w:tcW w:w="845" w:type="dxa"/>
            <w:gridSpan w:val="2"/>
          </w:tcPr>
          <w:p w:rsidR="0059412F" w:rsidRPr="00501852" w:rsidRDefault="00282CF3" w:rsidP="0059412F">
            <w:pPr>
              <w:pStyle w:val="Tflutexti"/>
              <w:spacing w:before="240" w:line="240" w:lineRule="auto"/>
              <w:rPr>
                <w:rFonts w:ascii="Times New Roman" w:hAnsi="Times New Roman" w:cs="Times New Roman"/>
                <w:sz w:val="18"/>
                <w:szCs w:val="18"/>
              </w:rPr>
            </w:pPr>
            <w:r w:rsidRPr="00501852">
              <w:rPr>
                <w:rFonts w:ascii="Times New Roman" w:hAnsi="Times New Roman" w:cs="Times New Roman"/>
                <w:sz w:val="18"/>
                <w:szCs w:val="18"/>
              </w:rPr>
              <w:br w:type="page"/>
            </w:r>
          </w:p>
        </w:tc>
        <w:tc>
          <w:tcPr>
            <w:tcW w:w="1149" w:type="dxa"/>
          </w:tcPr>
          <w:p w:rsidR="0059412F" w:rsidRPr="00501852" w:rsidRDefault="0059412F" w:rsidP="0059412F">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Liður 1.5.</w:t>
            </w:r>
          </w:p>
        </w:tc>
        <w:tc>
          <w:tcPr>
            <w:tcW w:w="6380" w:type="dxa"/>
          </w:tcPr>
          <w:p w:rsidR="0059412F" w:rsidRPr="00501852" w:rsidRDefault="0059412F" w:rsidP="008B67C7">
            <w:pPr>
              <w:pStyle w:val="Tflutexti"/>
              <w:ind w:left="281" w:hanging="264"/>
              <w:rPr>
                <w:rFonts w:ascii="Times New Roman" w:hAnsi="Times New Roman" w:cs="Times New Roman"/>
                <w:sz w:val="18"/>
                <w:szCs w:val="18"/>
              </w:rPr>
            </w:pPr>
            <w:r w:rsidRPr="00501852">
              <w:rPr>
                <w:rFonts w:ascii="Times New Roman" w:hAnsi="Times New Roman" w:cs="Times New Roman"/>
                <w:sz w:val="18"/>
                <w:szCs w:val="18"/>
              </w:rPr>
              <w:t>Yfirlýsing þess efnis að:</w:t>
            </w:r>
          </w:p>
          <w:p w:rsidR="0059412F" w:rsidRPr="00501852" w:rsidRDefault="0059412F" w:rsidP="008B67C7">
            <w:pPr>
              <w:pStyle w:val="Tflutexti"/>
              <w:spacing w:before="0" w:after="0"/>
              <w:ind w:left="311" w:hanging="283"/>
              <w:rPr>
                <w:rFonts w:ascii="Times New Roman" w:hAnsi="Times New Roman" w:cs="Times New Roman"/>
                <w:sz w:val="18"/>
                <w:szCs w:val="18"/>
              </w:rPr>
            </w:pPr>
            <w:r w:rsidRPr="00501852">
              <w:rPr>
                <w:rFonts w:ascii="Times New Roman" w:hAnsi="Times New Roman" w:cs="Times New Roman"/>
                <w:sz w:val="18"/>
                <w:szCs w:val="18"/>
              </w:rPr>
              <w:t>a)</w:t>
            </w:r>
            <w:r w:rsidR="008B67C7" w:rsidRPr="00501852">
              <w:rPr>
                <w:rFonts w:ascii="Times New Roman" w:hAnsi="Times New Roman" w:cs="Times New Roman"/>
                <w:sz w:val="18"/>
                <w:szCs w:val="18"/>
              </w:rPr>
              <w:t xml:space="preserve">  </w:t>
            </w:r>
            <w:r w:rsidRPr="00501852">
              <w:rPr>
                <w:rFonts w:ascii="Times New Roman" w:hAnsi="Times New Roman" w:cs="Times New Roman"/>
                <w:sz w:val="18"/>
                <w:szCs w:val="18"/>
              </w:rPr>
              <w:t>[verðbréfalýsingin/lýsingin] hafi verið staðfest af [fylla skal inn heiti lögbærs yfirvalds] sem lögbæru yfirvaldi samkvæmt reglugerð (ESB) 2017/1129,</w:t>
            </w:r>
          </w:p>
          <w:p w:rsidR="0059412F" w:rsidRPr="00501852" w:rsidRDefault="0059412F" w:rsidP="008B67C7">
            <w:pPr>
              <w:pStyle w:val="Tflutexti"/>
              <w:spacing w:before="0" w:after="0"/>
              <w:ind w:left="281" w:hanging="264"/>
              <w:rPr>
                <w:rFonts w:ascii="Times New Roman" w:hAnsi="Times New Roman" w:cs="Times New Roman"/>
                <w:sz w:val="18"/>
                <w:szCs w:val="18"/>
              </w:rPr>
            </w:pPr>
            <w:r w:rsidRPr="00501852">
              <w:rPr>
                <w:rFonts w:ascii="Times New Roman" w:hAnsi="Times New Roman" w:cs="Times New Roman"/>
                <w:sz w:val="18"/>
                <w:szCs w:val="18"/>
              </w:rPr>
              <w:lastRenderedPageBreak/>
              <w:t>b)</w:t>
            </w:r>
            <w:r w:rsidRPr="00501852">
              <w:rPr>
                <w:rFonts w:ascii="Times New Roman" w:hAnsi="Times New Roman" w:cs="Times New Roman"/>
                <w:sz w:val="18"/>
                <w:szCs w:val="18"/>
              </w:rPr>
              <w:tab/>
              <w:t>[heiti lögbærs yfirvalds] staðfesti aðeins þessa [verðbréfalýsingu/lýsingu] í þeim skilningi að hún uppfylli þær kröfur um að vera fullnægjandi, skiljanleg og samkvæm sem kveðið er á um í reglugerð (ESB) 2017/1129,</w:t>
            </w:r>
          </w:p>
          <w:p w:rsidR="0059412F" w:rsidRPr="00501852" w:rsidRDefault="0059412F" w:rsidP="008B67C7">
            <w:pPr>
              <w:pStyle w:val="Tflutexti"/>
              <w:spacing w:before="0" w:after="0"/>
              <w:ind w:left="281" w:hanging="264"/>
              <w:rPr>
                <w:rFonts w:ascii="Times New Roman" w:hAnsi="Times New Roman" w:cs="Times New Roman"/>
                <w:sz w:val="18"/>
                <w:szCs w:val="18"/>
              </w:rPr>
            </w:pPr>
            <w:r w:rsidRPr="00501852">
              <w:rPr>
                <w:rFonts w:ascii="Times New Roman" w:hAnsi="Times New Roman" w:cs="Times New Roman"/>
                <w:sz w:val="18"/>
                <w:szCs w:val="18"/>
              </w:rPr>
              <w:t>c)</w:t>
            </w:r>
            <w:r w:rsidRPr="00501852">
              <w:rPr>
                <w:rFonts w:ascii="Times New Roman" w:hAnsi="Times New Roman" w:cs="Times New Roman"/>
                <w:sz w:val="18"/>
                <w:szCs w:val="18"/>
              </w:rPr>
              <w:tab/>
              <w:t>ekki beri að líta á slíka staðfestingu sem staðfestingu á gæðum verðbréfanna sem þessi [verðbréfalýsing/lýsing] varðar,</w:t>
            </w:r>
          </w:p>
          <w:p w:rsidR="0059412F" w:rsidRPr="00501852" w:rsidRDefault="0059412F" w:rsidP="008B67C7">
            <w:pPr>
              <w:pStyle w:val="Tflutexti"/>
              <w:spacing w:before="0" w:after="0"/>
              <w:ind w:left="281" w:hanging="264"/>
              <w:rPr>
                <w:rFonts w:ascii="Times New Roman" w:hAnsi="Times New Roman" w:cs="Times New Roman"/>
                <w:sz w:val="18"/>
                <w:szCs w:val="18"/>
              </w:rPr>
            </w:pPr>
            <w:r w:rsidRPr="00501852">
              <w:rPr>
                <w:rFonts w:ascii="Times New Roman" w:hAnsi="Times New Roman" w:cs="Times New Roman"/>
                <w:sz w:val="18"/>
                <w:szCs w:val="18"/>
              </w:rPr>
              <w:t>d)</w:t>
            </w:r>
            <w:r w:rsidRPr="00501852">
              <w:rPr>
                <w:rFonts w:ascii="Times New Roman" w:hAnsi="Times New Roman" w:cs="Times New Roman"/>
                <w:sz w:val="18"/>
                <w:szCs w:val="18"/>
              </w:rPr>
              <w:tab/>
              <w:t>fjárfestar skuli meta sjálfir hvort þeim henti að fjárfesta í verðbréfunum, og</w:t>
            </w:r>
          </w:p>
          <w:p w:rsidR="0059412F" w:rsidRPr="00501852" w:rsidRDefault="0059412F" w:rsidP="008B67C7">
            <w:pPr>
              <w:pStyle w:val="Tflutexti"/>
              <w:spacing w:before="0"/>
              <w:ind w:left="281" w:hanging="264"/>
              <w:rPr>
                <w:rFonts w:ascii="Times New Roman" w:hAnsi="Times New Roman" w:cs="Times New Roman"/>
                <w:sz w:val="18"/>
                <w:szCs w:val="18"/>
              </w:rPr>
            </w:pPr>
            <w:r w:rsidRPr="00501852">
              <w:rPr>
                <w:rFonts w:ascii="Times New Roman" w:hAnsi="Times New Roman" w:cs="Times New Roman"/>
                <w:sz w:val="18"/>
                <w:szCs w:val="18"/>
              </w:rPr>
              <w:t>e)</w:t>
            </w:r>
            <w:r w:rsidRPr="00501852">
              <w:rPr>
                <w:rFonts w:ascii="Times New Roman" w:hAnsi="Times New Roman" w:cs="Times New Roman"/>
                <w:sz w:val="18"/>
                <w:szCs w:val="18"/>
              </w:rPr>
              <w:tab/>
              <w:t>[verðbréfalýsingin] hafi verið samin sem ESB-vaxtarlýsing í samræmi við 15. gr. reglugerðar (ESB) 2017/1129.</w:t>
            </w:r>
          </w:p>
        </w:tc>
        <w:tc>
          <w:tcPr>
            <w:tcW w:w="986" w:type="dxa"/>
            <w:tcBorders>
              <w:bottom w:val="single" w:sz="4" w:space="0" w:color="auto"/>
            </w:tcBorders>
          </w:tcPr>
          <w:p w:rsidR="0059412F" w:rsidRPr="00501852" w:rsidRDefault="0059412F" w:rsidP="0059412F">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lastRenderedPageBreak/>
              <w:t>Flokkur A</w:t>
            </w:r>
          </w:p>
        </w:tc>
      </w:tr>
      <w:tr w:rsidR="0059412F" w:rsidRPr="00501852" w:rsidTr="00501852">
        <w:trPr>
          <w:trHeight w:val="567"/>
        </w:trPr>
        <w:tc>
          <w:tcPr>
            <w:tcW w:w="845" w:type="dxa"/>
            <w:gridSpan w:val="2"/>
          </w:tcPr>
          <w:p w:rsidR="0059412F" w:rsidRPr="00501852" w:rsidRDefault="0059412F" w:rsidP="0059412F">
            <w:pPr>
              <w:pStyle w:val="Tflutexti"/>
              <w:spacing w:before="240" w:line="240" w:lineRule="auto"/>
              <w:rPr>
                <w:rFonts w:ascii="Times New Roman" w:hAnsi="Times New Roman" w:cs="Times New Roman"/>
                <w:sz w:val="18"/>
                <w:szCs w:val="18"/>
              </w:rPr>
            </w:pPr>
          </w:p>
        </w:tc>
        <w:tc>
          <w:tcPr>
            <w:tcW w:w="1149" w:type="dxa"/>
          </w:tcPr>
          <w:p w:rsidR="0059412F" w:rsidRPr="00501852" w:rsidRDefault="0059412F" w:rsidP="0059412F">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 xml:space="preserve">Liður </w:t>
            </w:r>
            <w:r w:rsidR="008B67C7" w:rsidRPr="00501852">
              <w:rPr>
                <w:rFonts w:ascii="Times New Roman" w:hAnsi="Times New Roman" w:cs="Times New Roman"/>
                <w:sz w:val="18"/>
                <w:szCs w:val="18"/>
              </w:rPr>
              <w:t>1</w:t>
            </w:r>
            <w:r w:rsidRPr="00501852">
              <w:rPr>
                <w:rFonts w:ascii="Times New Roman" w:hAnsi="Times New Roman" w:cs="Times New Roman"/>
                <w:sz w:val="18"/>
                <w:szCs w:val="18"/>
              </w:rPr>
              <w:t>.</w:t>
            </w:r>
            <w:r w:rsidR="008B67C7" w:rsidRPr="00501852">
              <w:rPr>
                <w:rFonts w:ascii="Times New Roman" w:hAnsi="Times New Roman" w:cs="Times New Roman"/>
                <w:sz w:val="18"/>
                <w:szCs w:val="18"/>
              </w:rPr>
              <w:t>6</w:t>
            </w:r>
            <w:r w:rsidRPr="00501852">
              <w:rPr>
                <w:rFonts w:ascii="Times New Roman" w:hAnsi="Times New Roman" w:cs="Times New Roman"/>
                <w:sz w:val="18"/>
                <w:szCs w:val="18"/>
              </w:rPr>
              <w:t>.</w:t>
            </w:r>
          </w:p>
        </w:tc>
        <w:tc>
          <w:tcPr>
            <w:tcW w:w="6380" w:type="dxa"/>
          </w:tcPr>
          <w:p w:rsidR="008B67C7" w:rsidRPr="00501852" w:rsidRDefault="008B67C7" w:rsidP="008B67C7">
            <w:pPr>
              <w:pStyle w:val="Tflutexti"/>
              <w:rPr>
                <w:rFonts w:ascii="Times New Roman" w:hAnsi="Times New Roman" w:cs="Times New Roman"/>
                <w:sz w:val="18"/>
                <w:szCs w:val="18"/>
              </w:rPr>
            </w:pPr>
            <w:r w:rsidRPr="00501852">
              <w:rPr>
                <w:rFonts w:ascii="Times New Roman" w:hAnsi="Times New Roman" w:cs="Times New Roman"/>
                <w:sz w:val="18"/>
                <w:szCs w:val="18"/>
              </w:rPr>
              <w:t>Hagsmunir einstaklinga og lögaðila sem tengjast útgáfunni/útboðinu</w:t>
            </w:r>
            <w:r w:rsidR="00282CF3" w:rsidRPr="00501852">
              <w:rPr>
                <w:rFonts w:ascii="Times New Roman" w:hAnsi="Times New Roman" w:cs="Times New Roman"/>
                <w:sz w:val="18"/>
                <w:szCs w:val="18"/>
              </w:rPr>
              <w:t>.</w:t>
            </w:r>
          </w:p>
          <w:p w:rsidR="0059412F" w:rsidRPr="00501852" w:rsidRDefault="008B67C7" w:rsidP="008B67C7">
            <w:pPr>
              <w:pStyle w:val="Tflutexti"/>
              <w:rPr>
                <w:rFonts w:ascii="Times New Roman" w:hAnsi="Times New Roman" w:cs="Times New Roman"/>
                <w:sz w:val="18"/>
                <w:szCs w:val="18"/>
              </w:rPr>
            </w:pPr>
            <w:r w:rsidRPr="00501852">
              <w:rPr>
                <w:rFonts w:ascii="Times New Roman" w:hAnsi="Times New Roman" w:cs="Times New Roman"/>
                <w:sz w:val="18"/>
                <w:szCs w:val="18"/>
              </w:rPr>
              <w:t>Lýsing á hvers kyns hagsmunum, þ.m.t. hagsmunaárekstrum sem skipta máli fyrir útgáfuna/útboðið, ásamt upplýsingum um hlutaðeigandi aðila og eðli viðkomandi hagsmuna.</w:t>
            </w:r>
          </w:p>
        </w:tc>
        <w:tc>
          <w:tcPr>
            <w:tcW w:w="986" w:type="dxa"/>
            <w:tcBorders>
              <w:bottom w:val="single" w:sz="4" w:space="0" w:color="auto"/>
            </w:tcBorders>
          </w:tcPr>
          <w:p w:rsidR="0059412F" w:rsidRPr="00501852" w:rsidRDefault="0059412F" w:rsidP="0059412F">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 xml:space="preserve">Flokkur </w:t>
            </w:r>
            <w:r w:rsidR="008B67C7" w:rsidRPr="00501852">
              <w:rPr>
                <w:rFonts w:ascii="Times New Roman" w:hAnsi="Times New Roman" w:cs="Times New Roman"/>
                <w:sz w:val="18"/>
                <w:szCs w:val="18"/>
              </w:rPr>
              <w:t>C</w:t>
            </w:r>
          </w:p>
        </w:tc>
      </w:tr>
      <w:tr w:rsidR="0059412F" w:rsidRPr="00501852" w:rsidTr="00501852">
        <w:trPr>
          <w:trHeight w:val="567"/>
        </w:trPr>
        <w:tc>
          <w:tcPr>
            <w:tcW w:w="845" w:type="dxa"/>
            <w:gridSpan w:val="2"/>
          </w:tcPr>
          <w:p w:rsidR="0059412F" w:rsidRPr="00501852" w:rsidRDefault="0059412F" w:rsidP="0059412F">
            <w:pPr>
              <w:pStyle w:val="Tflutexti"/>
              <w:spacing w:line="240" w:lineRule="auto"/>
              <w:rPr>
                <w:rFonts w:ascii="Times New Roman" w:hAnsi="Times New Roman" w:cs="Times New Roman"/>
                <w:sz w:val="18"/>
                <w:szCs w:val="18"/>
              </w:rPr>
            </w:pPr>
          </w:p>
        </w:tc>
        <w:tc>
          <w:tcPr>
            <w:tcW w:w="1149" w:type="dxa"/>
          </w:tcPr>
          <w:p w:rsidR="0059412F" w:rsidRPr="00501852" w:rsidRDefault="0059412F" w:rsidP="0059412F">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 xml:space="preserve">Liður </w:t>
            </w:r>
            <w:r w:rsidR="008B67C7" w:rsidRPr="00501852">
              <w:rPr>
                <w:rFonts w:ascii="Times New Roman" w:hAnsi="Times New Roman" w:cs="Times New Roman"/>
                <w:sz w:val="18"/>
                <w:szCs w:val="18"/>
              </w:rPr>
              <w:t>1</w:t>
            </w:r>
            <w:r w:rsidRPr="00501852">
              <w:rPr>
                <w:rFonts w:ascii="Times New Roman" w:hAnsi="Times New Roman" w:cs="Times New Roman"/>
                <w:sz w:val="18"/>
                <w:szCs w:val="18"/>
              </w:rPr>
              <w:t>.</w:t>
            </w:r>
            <w:r w:rsidR="008B67C7" w:rsidRPr="00501852">
              <w:rPr>
                <w:rFonts w:ascii="Times New Roman" w:hAnsi="Times New Roman" w:cs="Times New Roman"/>
                <w:sz w:val="18"/>
                <w:szCs w:val="18"/>
              </w:rPr>
              <w:t>7</w:t>
            </w:r>
            <w:r w:rsidRPr="00501852">
              <w:rPr>
                <w:rFonts w:ascii="Times New Roman" w:hAnsi="Times New Roman" w:cs="Times New Roman"/>
                <w:sz w:val="18"/>
                <w:szCs w:val="18"/>
              </w:rPr>
              <w:t>.</w:t>
            </w:r>
          </w:p>
        </w:tc>
        <w:tc>
          <w:tcPr>
            <w:tcW w:w="6380" w:type="dxa"/>
          </w:tcPr>
          <w:p w:rsidR="008B67C7" w:rsidRPr="00501852" w:rsidRDefault="008B67C7" w:rsidP="008B67C7">
            <w:pPr>
              <w:pStyle w:val="Tflutexti"/>
              <w:rPr>
                <w:rFonts w:ascii="Times New Roman" w:hAnsi="Times New Roman" w:cs="Times New Roman"/>
                <w:sz w:val="18"/>
                <w:szCs w:val="18"/>
              </w:rPr>
            </w:pPr>
            <w:r w:rsidRPr="00501852">
              <w:rPr>
                <w:rFonts w:ascii="Times New Roman" w:hAnsi="Times New Roman" w:cs="Times New Roman"/>
                <w:sz w:val="18"/>
                <w:szCs w:val="18"/>
              </w:rPr>
              <w:t>Ástæður útboðs, notkun ágóða og kostnaður við útgáfu/útboð</w:t>
            </w:r>
          </w:p>
          <w:p w:rsidR="0059412F" w:rsidRPr="00501852" w:rsidRDefault="008B67C7" w:rsidP="008B67C7">
            <w:pPr>
              <w:pStyle w:val="Tflutexti"/>
              <w:rPr>
                <w:rFonts w:ascii="Times New Roman" w:hAnsi="Times New Roman" w:cs="Times New Roman"/>
                <w:sz w:val="18"/>
                <w:szCs w:val="18"/>
              </w:rPr>
            </w:pPr>
            <w:r w:rsidRPr="00501852">
              <w:rPr>
                <w:rFonts w:ascii="Times New Roman" w:hAnsi="Times New Roman" w:cs="Times New Roman"/>
                <w:sz w:val="18"/>
                <w:szCs w:val="18"/>
              </w:rPr>
              <w:t>Ástæður almenns útboðs eða töku til viðskipta. Upplýsingar um áætlaðan heildarkostnað við útgáfu/útboð og áætluð nettófjárhæð ágóða, þar sem við á. Sundurliða skal þennan kostnað og ágóða eftir hverri fyrirhugaðri meginráðstöfun og setja fram í forgangsröð slíkra ráðstafana. Sé útgefanda kunnugt um að áætlaður ágóði muni ekki duga til að standa straum af allri fyrirhugaðri ráðstöfun skal tilgreina fjárhæðina sem upp á vantar og hvaðan önnur fjármögnun sem til þarf kemur.</w:t>
            </w:r>
          </w:p>
        </w:tc>
        <w:tc>
          <w:tcPr>
            <w:tcW w:w="986" w:type="dxa"/>
          </w:tcPr>
          <w:p w:rsidR="0059412F" w:rsidRPr="00501852" w:rsidRDefault="0059412F" w:rsidP="0059412F">
            <w:pPr>
              <w:pStyle w:val="Tflutexti"/>
              <w:spacing w:line="240" w:lineRule="auto"/>
              <w:rPr>
                <w:rFonts w:ascii="Times New Roman" w:hAnsi="Times New Roman" w:cs="Times New Roman"/>
                <w:sz w:val="18"/>
                <w:szCs w:val="18"/>
              </w:rPr>
            </w:pPr>
          </w:p>
          <w:p w:rsidR="0059412F" w:rsidRPr="00501852" w:rsidRDefault="0059412F" w:rsidP="0059412F">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Flokkur C</w:t>
            </w:r>
          </w:p>
        </w:tc>
      </w:tr>
      <w:tr w:rsidR="008B67C7" w:rsidRPr="00501852" w:rsidTr="00501852">
        <w:trPr>
          <w:trHeight w:val="567"/>
        </w:trPr>
        <w:tc>
          <w:tcPr>
            <w:tcW w:w="845" w:type="dxa"/>
            <w:gridSpan w:val="2"/>
          </w:tcPr>
          <w:p w:rsidR="008B67C7" w:rsidRPr="00501852" w:rsidRDefault="008B67C7" w:rsidP="008B67C7">
            <w:pPr>
              <w:pStyle w:val="Tflutexti"/>
              <w:spacing w:line="240" w:lineRule="auto"/>
              <w:rPr>
                <w:rFonts w:ascii="Times New Roman" w:hAnsi="Times New Roman" w:cs="Times New Roman"/>
                <w:sz w:val="18"/>
                <w:szCs w:val="18"/>
              </w:rPr>
            </w:pPr>
          </w:p>
        </w:tc>
        <w:tc>
          <w:tcPr>
            <w:tcW w:w="1149" w:type="dxa"/>
          </w:tcPr>
          <w:p w:rsidR="008B67C7" w:rsidRPr="00501852" w:rsidRDefault="008B67C7" w:rsidP="008B67C7">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Liður 1.8.</w:t>
            </w:r>
          </w:p>
        </w:tc>
        <w:tc>
          <w:tcPr>
            <w:tcW w:w="6380" w:type="dxa"/>
            <w:tcBorders>
              <w:right w:val="nil"/>
            </w:tcBorders>
          </w:tcPr>
          <w:p w:rsidR="008B67C7" w:rsidRPr="00501852" w:rsidRDefault="008B67C7" w:rsidP="008B67C7">
            <w:pPr>
              <w:pStyle w:val="Tflutexti"/>
              <w:rPr>
                <w:rFonts w:ascii="Times New Roman" w:hAnsi="Times New Roman" w:cs="Times New Roman"/>
                <w:sz w:val="18"/>
                <w:szCs w:val="18"/>
              </w:rPr>
            </w:pPr>
            <w:r w:rsidRPr="00501852">
              <w:rPr>
                <w:rFonts w:ascii="Times New Roman" w:hAnsi="Times New Roman" w:cs="Times New Roman"/>
                <w:sz w:val="18"/>
                <w:szCs w:val="18"/>
              </w:rPr>
              <w:t>Viðbótarupplýsingar</w:t>
            </w:r>
          </w:p>
        </w:tc>
        <w:tc>
          <w:tcPr>
            <w:tcW w:w="986" w:type="dxa"/>
            <w:tcBorders>
              <w:left w:val="nil"/>
            </w:tcBorders>
          </w:tcPr>
          <w:p w:rsidR="008B67C7" w:rsidRPr="00501852" w:rsidRDefault="008B67C7" w:rsidP="008B67C7">
            <w:pPr>
              <w:pStyle w:val="Tflutexti"/>
              <w:spacing w:line="240" w:lineRule="auto"/>
              <w:rPr>
                <w:rFonts w:ascii="Times New Roman" w:hAnsi="Times New Roman" w:cs="Times New Roman"/>
                <w:sz w:val="18"/>
                <w:szCs w:val="18"/>
              </w:rPr>
            </w:pPr>
          </w:p>
        </w:tc>
      </w:tr>
      <w:tr w:rsidR="008B67C7" w:rsidRPr="00501852" w:rsidTr="00501852">
        <w:trPr>
          <w:trHeight w:val="567"/>
        </w:trPr>
        <w:tc>
          <w:tcPr>
            <w:tcW w:w="845" w:type="dxa"/>
            <w:gridSpan w:val="2"/>
          </w:tcPr>
          <w:p w:rsidR="008B67C7" w:rsidRPr="00501852" w:rsidRDefault="008B67C7" w:rsidP="008B67C7">
            <w:pPr>
              <w:pStyle w:val="Tflutexti"/>
              <w:spacing w:line="240" w:lineRule="auto"/>
              <w:rPr>
                <w:rFonts w:ascii="Times New Roman" w:hAnsi="Times New Roman" w:cs="Times New Roman"/>
                <w:sz w:val="18"/>
                <w:szCs w:val="18"/>
              </w:rPr>
            </w:pPr>
          </w:p>
        </w:tc>
        <w:tc>
          <w:tcPr>
            <w:tcW w:w="1149" w:type="dxa"/>
          </w:tcPr>
          <w:p w:rsidR="008B67C7" w:rsidRPr="00501852" w:rsidRDefault="008B67C7" w:rsidP="008B67C7">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Liður 1.8.1</w:t>
            </w:r>
          </w:p>
        </w:tc>
        <w:tc>
          <w:tcPr>
            <w:tcW w:w="6380" w:type="dxa"/>
          </w:tcPr>
          <w:p w:rsidR="008B67C7" w:rsidRPr="00501852" w:rsidRDefault="008B67C7" w:rsidP="008B67C7">
            <w:pPr>
              <w:pStyle w:val="Tflutexti"/>
              <w:rPr>
                <w:rFonts w:ascii="Times New Roman" w:hAnsi="Times New Roman" w:cs="Times New Roman"/>
                <w:sz w:val="18"/>
                <w:szCs w:val="18"/>
              </w:rPr>
            </w:pPr>
            <w:r w:rsidRPr="00501852">
              <w:rPr>
                <w:rFonts w:ascii="Times New Roman" w:hAnsi="Times New Roman" w:cs="Times New Roman"/>
                <w:sz w:val="18"/>
                <w:szCs w:val="18"/>
              </w:rPr>
              <w:t>Sé ráðgjafa í tengslum við útgáfu getið í verðbréfalýsingunni skal tilgreina hvert hlutverk þeirra hefur verið.</w:t>
            </w:r>
          </w:p>
        </w:tc>
        <w:tc>
          <w:tcPr>
            <w:tcW w:w="986" w:type="dxa"/>
          </w:tcPr>
          <w:p w:rsidR="008B67C7" w:rsidRPr="00501852" w:rsidRDefault="00413341" w:rsidP="008B67C7">
            <w:pPr>
              <w:pStyle w:val="Tflutexti"/>
              <w:spacing w:after="0" w:line="240" w:lineRule="auto"/>
              <w:rPr>
                <w:rFonts w:ascii="Times New Roman" w:hAnsi="Times New Roman" w:cs="Times New Roman"/>
                <w:sz w:val="18"/>
                <w:szCs w:val="18"/>
              </w:rPr>
            </w:pPr>
            <w:r w:rsidRPr="00501852">
              <w:rPr>
                <w:rFonts w:ascii="Times New Roman" w:hAnsi="Times New Roman" w:cs="Times New Roman"/>
                <w:sz w:val="18"/>
                <w:szCs w:val="18"/>
              </w:rPr>
              <w:t>Flokkur C</w:t>
            </w:r>
          </w:p>
        </w:tc>
      </w:tr>
      <w:tr w:rsidR="008B67C7" w:rsidRPr="00501852" w:rsidTr="00501852">
        <w:trPr>
          <w:trHeight w:val="567"/>
        </w:trPr>
        <w:tc>
          <w:tcPr>
            <w:tcW w:w="845" w:type="dxa"/>
            <w:gridSpan w:val="2"/>
          </w:tcPr>
          <w:p w:rsidR="008B67C7" w:rsidRPr="00501852" w:rsidRDefault="008B67C7" w:rsidP="008B67C7">
            <w:pPr>
              <w:pStyle w:val="Tflutexti"/>
              <w:spacing w:line="240" w:lineRule="auto"/>
              <w:rPr>
                <w:rFonts w:ascii="Times New Roman" w:hAnsi="Times New Roman" w:cs="Times New Roman"/>
                <w:sz w:val="18"/>
                <w:szCs w:val="18"/>
              </w:rPr>
            </w:pPr>
          </w:p>
        </w:tc>
        <w:tc>
          <w:tcPr>
            <w:tcW w:w="1149" w:type="dxa"/>
          </w:tcPr>
          <w:p w:rsidR="008B67C7" w:rsidRPr="00501852" w:rsidRDefault="008B67C7" w:rsidP="008B67C7">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Liður 1.8.2</w:t>
            </w:r>
          </w:p>
        </w:tc>
        <w:tc>
          <w:tcPr>
            <w:tcW w:w="6380" w:type="dxa"/>
          </w:tcPr>
          <w:p w:rsidR="008B67C7" w:rsidRPr="00501852" w:rsidRDefault="008B67C7" w:rsidP="008B67C7">
            <w:pPr>
              <w:pStyle w:val="Tflutexti"/>
              <w:rPr>
                <w:rFonts w:ascii="Times New Roman" w:hAnsi="Times New Roman" w:cs="Times New Roman"/>
                <w:sz w:val="18"/>
                <w:szCs w:val="18"/>
              </w:rPr>
            </w:pPr>
            <w:r w:rsidRPr="00501852">
              <w:rPr>
                <w:rFonts w:ascii="Times New Roman" w:hAnsi="Times New Roman" w:cs="Times New Roman"/>
                <w:sz w:val="18"/>
                <w:szCs w:val="18"/>
              </w:rPr>
              <w:t>Aðrar upplýsingar í verðbréfalýsingunni sem löggiltir endurskoðendur hafa endurskoðað eða kannað og ef endurskoðendur hafa lagt fram skýrslu. Endursögn skýrslunnar eða, með samþykki lögbærs yfirvalds, samantekt á henni.</w:t>
            </w:r>
          </w:p>
        </w:tc>
        <w:tc>
          <w:tcPr>
            <w:tcW w:w="986" w:type="dxa"/>
          </w:tcPr>
          <w:p w:rsidR="008B67C7" w:rsidRPr="00501852" w:rsidRDefault="008B67C7" w:rsidP="008B67C7">
            <w:pPr>
              <w:pStyle w:val="Tflutexti"/>
              <w:spacing w:after="0" w:line="240" w:lineRule="auto"/>
              <w:rPr>
                <w:rFonts w:ascii="Times New Roman" w:hAnsi="Times New Roman" w:cs="Times New Roman"/>
                <w:sz w:val="18"/>
                <w:szCs w:val="18"/>
              </w:rPr>
            </w:pPr>
            <w:r w:rsidRPr="00501852">
              <w:rPr>
                <w:rFonts w:ascii="Times New Roman" w:hAnsi="Times New Roman" w:cs="Times New Roman"/>
                <w:sz w:val="18"/>
                <w:szCs w:val="18"/>
              </w:rPr>
              <w:t>Flokkur A</w:t>
            </w:r>
          </w:p>
          <w:p w:rsidR="008B67C7" w:rsidRPr="00501852" w:rsidRDefault="008B67C7" w:rsidP="008B67C7">
            <w:pPr>
              <w:pStyle w:val="Tflutexti"/>
              <w:spacing w:before="0" w:after="0" w:line="240" w:lineRule="auto"/>
              <w:rPr>
                <w:rFonts w:ascii="Times New Roman" w:hAnsi="Times New Roman" w:cs="Times New Roman"/>
                <w:sz w:val="18"/>
                <w:szCs w:val="18"/>
              </w:rPr>
            </w:pPr>
          </w:p>
          <w:p w:rsidR="008B67C7" w:rsidRPr="00501852" w:rsidRDefault="008B67C7" w:rsidP="008B67C7">
            <w:pPr>
              <w:pStyle w:val="Tflutexti"/>
              <w:spacing w:after="0" w:line="240" w:lineRule="auto"/>
              <w:rPr>
                <w:rFonts w:ascii="Times New Roman" w:hAnsi="Times New Roman" w:cs="Times New Roman"/>
                <w:sz w:val="18"/>
                <w:szCs w:val="18"/>
              </w:rPr>
            </w:pPr>
          </w:p>
        </w:tc>
      </w:tr>
      <w:tr w:rsidR="008B67C7" w:rsidRPr="00501852" w:rsidTr="00501852">
        <w:trPr>
          <w:trHeight w:val="567"/>
        </w:trPr>
        <w:tc>
          <w:tcPr>
            <w:tcW w:w="845" w:type="dxa"/>
            <w:gridSpan w:val="2"/>
          </w:tcPr>
          <w:p w:rsidR="008B67C7" w:rsidRPr="00501852" w:rsidRDefault="008B67C7" w:rsidP="008B67C7">
            <w:pPr>
              <w:pStyle w:val="Tflutexti"/>
              <w:spacing w:line="240" w:lineRule="auto"/>
              <w:rPr>
                <w:rFonts w:ascii="Times New Roman" w:hAnsi="Times New Roman" w:cs="Times New Roman"/>
                <w:sz w:val="18"/>
                <w:szCs w:val="18"/>
              </w:rPr>
            </w:pPr>
          </w:p>
        </w:tc>
        <w:tc>
          <w:tcPr>
            <w:tcW w:w="1149" w:type="dxa"/>
          </w:tcPr>
          <w:p w:rsidR="008B67C7" w:rsidRPr="00501852" w:rsidRDefault="008B67C7" w:rsidP="008B67C7">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Liður 1.8.3</w:t>
            </w:r>
          </w:p>
        </w:tc>
        <w:tc>
          <w:tcPr>
            <w:tcW w:w="6380" w:type="dxa"/>
          </w:tcPr>
          <w:p w:rsidR="008B67C7" w:rsidRPr="00501852" w:rsidRDefault="008B67C7" w:rsidP="008B67C7">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Lánshæfiseinkunnir sem gefnar eru verðbréfunum að beiðni útgefanda eða með samstarfi hans í matsferlinu. Stutt skýring á merkingu lánshæfiseinkunnanna ef matsfyrirtækið hefur áður birt hana.</w:t>
            </w:r>
          </w:p>
        </w:tc>
        <w:tc>
          <w:tcPr>
            <w:tcW w:w="986" w:type="dxa"/>
          </w:tcPr>
          <w:p w:rsidR="008B67C7" w:rsidRPr="00501852" w:rsidRDefault="008B67C7" w:rsidP="008B67C7">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 xml:space="preserve">Flokkur </w:t>
            </w:r>
            <w:r w:rsidR="00413341" w:rsidRPr="00501852">
              <w:rPr>
                <w:rFonts w:ascii="Times New Roman" w:hAnsi="Times New Roman" w:cs="Times New Roman"/>
                <w:sz w:val="18"/>
                <w:szCs w:val="18"/>
              </w:rPr>
              <w:t>C</w:t>
            </w:r>
          </w:p>
        </w:tc>
      </w:tr>
      <w:tr w:rsidR="008B67C7" w:rsidRPr="00501852" w:rsidTr="00501852">
        <w:trPr>
          <w:trHeight w:val="567"/>
        </w:trPr>
        <w:tc>
          <w:tcPr>
            <w:tcW w:w="845" w:type="dxa"/>
            <w:gridSpan w:val="2"/>
          </w:tcPr>
          <w:p w:rsidR="008B67C7" w:rsidRPr="00501852" w:rsidRDefault="008B67C7" w:rsidP="008B67C7">
            <w:pPr>
              <w:pStyle w:val="Tflutexti"/>
              <w:spacing w:line="240" w:lineRule="auto"/>
              <w:rPr>
                <w:rFonts w:ascii="Times New Roman" w:hAnsi="Times New Roman" w:cs="Times New Roman"/>
                <w:sz w:val="18"/>
                <w:szCs w:val="18"/>
              </w:rPr>
            </w:pPr>
          </w:p>
        </w:tc>
        <w:tc>
          <w:tcPr>
            <w:tcW w:w="1149" w:type="dxa"/>
          </w:tcPr>
          <w:p w:rsidR="008B67C7" w:rsidRPr="00501852" w:rsidRDefault="008B67C7" w:rsidP="008B67C7">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Liður 1.8.4</w:t>
            </w:r>
          </w:p>
        </w:tc>
        <w:tc>
          <w:tcPr>
            <w:tcW w:w="6380" w:type="dxa"/>
          </w:tcPr>
          <w:p w:rsidR="008B67C7" w:rsidRPr="00501852" w:rsidRDefault="00413341" w:rsidP="00413341">
            <w:pPr>
              <w:pStyle w:val="Tflutexti"/>
              <w:rPr>
                <w:rFonts w:ascii="Times New Roman" w:hAnsi="Times New Roman" w:cs="Times New Roman"/>
                <w:sz w:val="18"/>
                <w:szCs w:val="18"/>
              </w:rPr>
            </w:pPr>
            <w:r w:rsidRPr="00501852">
              <w:rPr>
                <w:rFonts w:ascii="Times New Roman" w:hAnsi="Times New Roman" w:cs="Times New Roman"/>
                <w:sz w:val="18"/>
                <w:szCs w:val="18"/>
              </w:rPr>
              <w:t>Komi upplýsingarnar í c- til i-lið 3. mgr. 8. gr. reglugerðar (ESB) nr. 1286/2014 í stað hluta samantektarinnar skal birta allar slíkar upplýsingar að því marki sem þær eru ekki birtar annars staðar í verðbréfalýsingunni</w:t>
            </w:r>
          </w:p>
        </w:tc>
        <w:tc>
          <w:tcPr>
            <w:tcW w:w="986" w:type="dxa"/>
          </w:tcPr>
          <w:p w:rsidR="008B67C7" w:rsidRPr="00501852" w:rsidRDefault="008B67C7" w:rsidP="00413341">
            <w:pPr>
              <w:pStyle w:val="Tflutexti"/>
              <w:spacing w:after="0" w:line="240" w:lineRule="auto"/>
              <w:rPr>
                <w:rFonts w:ascii="Times New Roman" w:hAnsi="Times New Roman" w:cs="Times New Roman"/>
                <w:sz w:val="18"/>
                <w:szCs w:val="18"/>
              </w:rPr>
            </w:pPr>
            <w:r w:rsidRPr="00501852">
              <w:rPr>
                <w:rFonts w:ascii="Times New Roman" w:hAnsi="Times New Roman" w:cs="Times New Roman"/>
                <w:sz w:val="18"/>
                <w:szCs w:val="18"/>
              </w:rPr>
              <w:t xml:space="preserve">Flokkur </w:t>
            </w:r>
            <w:r w:rsidR="00413341" w:rsidRPr="00501852">
              <w:rPr>
                <w:rFonts w:ascii="Times New Roman" w:hAnsi="Times New Roman" w:cs="Times New Roman"/>
                <w:sz w:val="18"/>
                <w:szCs w:val="18"/>
              </w:rPr>
              <w:t>C</w:t>
            </w:r>
          </w:p>
        </w:tc>
      </w:tr>
      <w:tr w:rsidR="006F4DC8" w:rsidRPr="00501852" w:rsidTr="00501852">
        <w:trPr>
          <w:trHeight w:val="567"/>
        </w:trPr>
        <w:tc>
          <w:tcPr>
            <w:tcW w:w="845" w:type="dxa"/>
            <w:gridSpan w:val="2"/>
          </w:tcPr>
          <w:p w:rsidR="006F4DC8" w:rsidRPr="00501852" w:rsidRDefault="006F4DC8" w:rsidP="00413341">
            <w:pPr>
              <w:pStyle w:val="Tflutexti"/>
              <w:spacing w:line="240" w:lineRule="auto"/>
              <w:rPr>
                <w:rFonts w:ascii="Times New Roman" w:hAnsi="Times New Roman" w:cs="Times New Roman"/>
                <w:sz w:val="18"/>
                <w:szCs w:val="18"/>
              </w:rPr>
            </w:pPr>
          </w:p>
        </w:tc>
        <w:tc>
          <w:tcPr>
            <w:tcW w:w="1149" w:type="dxa"/>
          </w:tcPr>
          <w:p w:rsidR="006F4DC8" w:rsidRPr="00501852" w:rsidRDefault="006F4DC8" w:rsidP="00413341">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2. ÞÁTTUR</w:t>
            </w:r>
          </w:p>
        </w:tc>
        <w:tc>
          <w:tcPr>
            <w:tcW w:w="7366" w:type="dxa"/>
            <w:gridSpan w:val="2"/>
          </w:tcPr>
          <w:p w:rsidR="006F4DC8" w:rsidRPr="00501852" w:rsidRDefault="006F4DC8" w:rsidP="00413341">
            <w:pPr>
              <w:pStyle w:val="Tflutexti"/>
              <w:spacing w:after="0"/>
              <w:rPr>
                <w:rFonts w:ascii="Times New Roman" w:hAnsi="Times New Roman" w:cs="Times New Roman"/>
                <w:sz w:val="18"/>
                <w:szCs w:val="18"/>
              </w:rPr>
            </w:pPr>
            <w:r w:rsidRPr="00501852">
              <w:rPr>
                <w:rFonts w:ascii="Times New Roman" w:hAnsi="Times New Roman" w:cs="Times New Roman"/>
                <w:sz w:val="18"/>
                <w:szCs w:val="18"/>
              </w:rPr>
              <w:t>ÁHÆTTUÞÆTTIR</w:t>
            </w:r>
          </w:p>
          <w:p w:rsidR="006F4DC8" w:rsidRPr="00501852" w:rsidRDefault="006F4DC8" w:rsidP="00413341">
            <w:pPr>
              <w:pStyle w:val="Tflutexti"/>
              <w:spacing w:line="240" w:lineRule="auto"/>
              <w:rPr>
                <w:rFonts w:ascii="Times New Roman" w:hAnsi="Times New Roman" w:cs="Times New Roman"/>
                <w:sz w:val="18"/>
                <w:szCs w:val="18"/>
              </w:rPr>
            </w:pPr>
            <w:r w:rsidRPr="00501852">
              <w:rPr>
                <w:rFonts w:ascii="Times New Roman" w:hAnsi="Times New Roman" w:cs="Times New Roman"/>
                <w:i/>
                <w:sz w:val="18"/>
                <w:szCs w:val="18"/>
              </w:rPr>
              <w:t>Tilgangur þessa þáttar er að lýsa helstu áhættuþáttum sem eru sértækir fyrir verðbréf útgefandans.</w:t>
            </w:r>
          </w:p>
        </w:tc>
      </w:tr>
      <w:tr w:rsidR="00413341" w:rsidRPr="00501852" w:rsidTr="00501852">
        <w:trPr>
          <w:trHeight w:val="567"/>
        </w:trPr>
        <w:tc>
          <w:tcPr>
            <w:tcW w:w="845" w:type="dxa"/>
            <w:gridSpan w:val="2"/>
          </w:tcPr>
          <w:p w:rsidR="00413341" w:rsidRPr="00501852" w:rsidRDefault="00413341" w:rsidP="00413341">
            <w:pPr>
              <w:pStyle w:val="Tflutexti"/>
              <w:spacing w:line="240" w:lineRule="auto"/>
              <w:rPr>
                <w:rFonts w:ascii="Times New Roman" w:hAnsi="Times New Roman" w:cs="Times New Roman"/>
                <w:sz w:val="18"/>
                <w:szCs w:val="18"/>
              </w:rPr>
            </w:pPr>
          </w:p>
        </w:tc>
        <w:tc>
          <w:tcPr>
            <w:tcW w:w="1149" w:type="dxa"/>
          </w:tcPr>
          <w:p w:rsidR="00413341" w:rsidRPr="00501852" w:rsidRDefault="00413341" w:rsidP="00413341">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Liður 2.1</w:t>
            </w:r>
          </w:p>
        </w:tc>
        <w:tc>
          <w:tcPr>
            <w:tcW w:w="6380" w:type="dxa"/>
          </w:tcPr>
          <w:p w:rsidR="00413341" w:rsidRPr="00501852" w:rsidRDefault="00413341" w:rsidP="00413341">
            <w:pPr>
              <w:pStyle w:val="Tflutexti"/>
              <w:rPr>
                <w:rFonts w:ascii="Times New Roman" w:hAnsi="Times New Roman" w:cs="Times New Roman"/>
                <w:sz w:val="18"/>
                <w:szCs w:val="18"/>
              </w:rPr>
            </w:pPr>
            <w:r w:rsidRPr="00501852">
              <w:rPr>
                <w:rFonts w:ascii="Times New Roman" w:hAnsi="Times New Roman" w:cs="Times New Roman"/>
                <w:sz w:val="18"/>
                <w:szCs w:val="18"/>
              </w:rPr>
              <w:t>Lýsing á verulegri áhættu sem er sértæk fyrir verðbréfin sem boðin eru, í takmörkuðum fjölda flokka, í kafla með fyrirsögnina „Áhættuþættir“.</w:t>
            </w:r>
          </w:p>
          <w:p w:rsidR="00413341" w:rsidRPr="00501852" w:rsidRDefault="00413341" w:rsidP="00413341">
            <w:pPr>
              <w:pStyle w:val="Tflutexti"/>
              <w:rPr>
                <w:rFonts w:ascii="Times New Roman" w:hAnsi="Times New Roman" w:cs="Times New Roman"/>
                <w:sz w:val="18"/>
                <w:szCs w:val="18"/>
              </w:rPr>
            </w:pPr>
            <w:r w:rsidRPr="00501852">
              <w:rPr>
                <w:rFonts w:ascii="Times New Roman" w:hAnsi="Times New Roman" w:cs="Times New Roman"/>
                <w:sz w:val="18"/>
                <w:szCs w:val="18"/>
              </w:rPr>
              <w:t>Meðal áhættuþátta sem skal veita upplýsingar um eru:</w:t>
            </w:r>
          </w:p>
          <w:p w:rsidR="00413341" w:rsidRPr="00501852" w:rsidRDefault="00413341" w:rsidP="002E239D">
            <w:pPr>
              <w:pStyle w:val="Tflutexti"/>
              <w:spacing w:after="0"/>
              <w:ind w:left="302" w:hanging="274"/>
              <w:rPr>
                <w:rFonts w:ascii="Times New Roman" w:hAnsi="Times New Roman" w:cs="Times New Roman"/>
                <w:sz w:val="18"/>
                <w:szCs w:val="18"/>
              </w:rPr>
            </w:pPr>
            <w:r w:rsidRPr="00501852">
              <w:rPr>
                <w:rFonts w:ascii="Times New Roman" w:hAnsi="Times New Roman" w:cs="Times New Roman"/>
                <w:sz w:val="18"/>
                <w:szCs w:val="18"/>
              </w:rPr>
              <w:t>a)</w:t>
            </w:r>
            <w:r w:rsidRPr="00501852">
              <w:rPr>
                <w:rFonts w:ascii="Times New Roman" w:hAnsi="Times New Roman" w:cs="Times New Roman"/>
                <w:sz w:val="18"/>
                <w:szCs w:val="18"/>
              </w:rPr>
              <w:tab/>
              <w:t>þeir sem leiða af rétthæð verðbréfs sem víkjandi kröfu og áhrif af væntanlegri stærð eða tímasetningu greiðslna til eigenda verðbréfanna ef til gjaldþrots eða annarrar sambærilegrar meðferðar kæmi, þ.m.t., ef við á, ógjaldfærni lánastofnunar eða skilameðferðar eða endurskipulagningar í samræmi við tilskipun 2014/59/ESB,</w:t>
            </w:r>
          </w:p>
          <w:p w:rsidR="00413341" w:rsidRPr="00501852" w:rsidRDefault="00413341" w:rsidP="002E239D">
            <w:pPr>
              <w:pStyle w:val="Tflutexti"/>
              <w:spacing w:before="0"/>
              <w:ind w:left="302" w:hanging="274"/>
              <w:rPr>
                <w:rFonts w:ascii="Times New Roman" w:hAnsi="Times New Roman" w:cs="Times New Roman"/>
                <w:sz w:val="18"/>
                <w:szCs w:val="18"/>
              </w:rPr>
            </w:pPr>
            <w:r w:rsidRPr="00501852">
              <w:rPr>
                <w:rFonts w:ascii="Times New Roman" w:hAnsi="Times New Roman" w:cs="Times New Roman"/>
                <w:sz w:val="18"/>
                <w:szCs w:val="18"/>
              </w:rPr>
              <w:t>b)</w:t>
            </w:r>
            <w:r w:rsidRPr="00501852">
              <w:rPr>
                <w:rFonts w:ascii="Times New Roman" w:hAnsi="Times New Roman" w:cs="Times New Roman"/>
                <w:sz w:val="18"/>
                <w:szCs w:val="18"/>
              </w:rPr>
              <w:tab/>
              <w:t>í tilvikum þar sem verðbréfin eru tryggð með ábyrgð, verulegir áhættuþættir sem eiga sérstaklega við um ábyrgðarveitandann að því marki sem þeir skipta máli fyrir getu hans til að standa við skuldbindingar sínar samkvæmt ábyrgðinni.</w:t>
            </w:r>
          </w:p>
          <w:p w:rsidR="00413341" w:rsidRPr="00501852" w:rsidRDefault="00413341" w:rsidP="00FE78CE">
            <w:pPr>
              <w:pStyle w:val="Tflutexti"/>
              <w:ind w:left="19" w:firstLine="9"/>
              <w:rPr>
                <w:rFonts w:ascii="Times New Roman" w:hAnsi="Times New Roman" w:cs="Times New Roman"/>
                <w:sz w:val="18"/>
                <w:szCs w:val="18"/>
              </w:rPr>
            </w:pPr>
            <w:r w:rsidRPr="00501852">
              <w:rPr>
                <w:rFonts w:ascii="Times New Roman" w:hAnsi="Times New Roman" w:cs="Times New Roman"/>
                <w:sz w:val="18"/>
                <w:szCs w:val="18"/>
              </w:rPr>
              <w:t>Í hverjum flokki skal fyrst telja upp alvarlegustu áhættuþættina að mati útgefanda eða tilboðsgjafa að teknu tilliti til áhrifa þeirra á útgefandann og verðbréfin og líkanna á að þeir raungerist. Áhættuþættirnir skulu staðfestir með efni verðbréfalýsingarinnar.</w:t>
            </w:r>
          </w:p>
        </w:tc>
        <w:tc>
          <w:tcPr>
            <w:tcW w:w="986" w:type="dxa"/>
          </w:tcPr>
          <w:p w:rsidR="00413341" w:rsidRPr="00501852" w:rsidRDefault="00413341" w:rsidP="00413341">
            <w:pPr>
              <w:pStyle w:val="Tflutexti"/>
              <w:spacing w:after="0" w:line="240" w:lineRule="auto"/>
              <w:rPr>
                <w:rFonts w:ascii="Times New Roman" w:hAnsi="Times New Roman" w:cs="Times New Roman"/>
                <w:sz w:val="18"/>
                <w:szCs w:val="18"/>
              </w:rPr>
            </w:pPr>
            <w:r w:rsidRPr="00501852">
              <w:rPr>
                <w:rFonts w:ascii="Times New Roman" w:hAnsi="Times New Roman" w:cs="Times New Roman"/>
                <w:sz w:val="18"/>
                <w:szCs w:val="18"/>
              </w:rPr>
              <w:t>Flokkur A</w:t>
            </w:r>
          </w:p>
          <w:p w:rsidR="00413341" w:rsidRPr="00501852" w:rsidRDefault="00413341" w:rsidP="00413341">
            <w:pPr>
              <w:pStyle w:val="Tflutexti"/>
              <w:spacing w:before="0" w:after="0" w:line="240" w:lineRule="auto"/>
              <w:rPr>
                <w:rFonts w:ascii="Times New Roman" w:hAnsi="Times New Roman" w:cs="Times New Roman"/>
                <w:sz w:val="18"/>
                <w:szCs w:val="18"/>
              </w:rPr>
            </w:pPr>
          </w:p>
          <w:p w:rsidR="00413341" w:rsidRPr="00501852" w:rsidRDefault="00413341" w:rsidP="00413341">
            <w:pPr>
              <w:pStyle w:val="Tflutexti"/>
              <w:spacing w:after="0" w:line="240" w:lineRule="auto"/>
              <w:rPr>
                <w:rFonts w:ascii="Times New Roman" w:hAnsi="Times New Roman" w:cs="Times New Roman"/>
                <w:sz w:val="18"/>
                <w:szCs w:val="18"/>
              </w:rPr>
            </w:pPr>
          </w:p>
        </w:tc>
      </w:tr>
      <w:tr w:rsidR="00EB1F15" w:rsidRPr="00501852" w:rsidTr="00501852">
        <w:trPr>
          <w:trHeight w:val="416"/>
        </w:trPr>
        <w:tc>
          <w:tcPr>
            <w:tcW w:w="838" w:type="dxa"/>
          </w:tcPr>
          <w:p w:rsidR="00EB1F15" w:rsidRPr="00501852" w:rsidRDefault="00EB1F15" w:rsidP="002D383E">
            <w:pPr>
              <w:pStyle w:val="Tflutexti"/>
              <w:spacing w:line="240" w:lineRule="auto"/>
              <w:rPr>
                <w:rFonts w:ascii="Times New Roman" w:hAnsi="Times New Roman" w:cs="Times New Roman"/>
                <w:sz w:val="18"/>
                <w:szCs w:val="18"/>
              </w:rPr>
            </w:pPr>
            <w:bookmarkStart w:id="0" w:name="_GoBack"/>
            <w:bookmarkEnd w:id="0"/>
          </w:p>
        </w:tc>
        <w:tc>
          <w:tcPr>
            <w:tcW w:w="1156" w:type="dxa"/>
            <w:gridSpan w:val="2"/>
          </w:tcPr>
          <w:p w:rsidR="00EB1F15" w:rsidRPr="00501852" w:rsidRDefault="00413341" w:rsidP="002D383E">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3</w:t>
            </w:r>
            <w:r w:rsidR="008D2569" w:rsidRPr="00501852">
              <w:rPr>
                <w:rFonts w:ascii="Times New Roman" w:hAnsi="Times New Roman" w:cs="Times New Roman"/>
                <w:sz w:val="18"/>
                <w:szCs w:val="18"/>
              </w:rPr>
              <w:t>. ÞÁTTUR</w:t>
            </w:r>
          </w:p>
        </w:tc>
        <w:tc>
          <w:tcPr>
            <w:tcW w:w="6380" w:type="dxa"/>
            <w:tcBorders>
              <w:right w:val="nil"/>
            </w:tcBorders>
          </w:tcPr>
          <w:p w:rsidR="00EB1F15" w:rsidRPr="00501852" w:rsidRDefault="00FE78CE" w:rsidP="008D2569">
            <w:pPr>
              <w:pStyle w:val="Tflutexti"/>
              <w:spacing w:after="0" w:line="240" w:lineRule="auto"/>
              <w:rPr>
                <w:rFonts w:ascii="Times New Roman" w:hAnsi="Times New Roman" w:cs="Times New Roman"/>
                <w:sz w:val="18"/>
                <w:szCs w:val="18"/>
              </w:rPr>
            </w:pPr>
            <w:r w:rsidRPr="00501852">
              <w:rPr>
                <w:rFonts w:ascii="Times New Roman" w:hAnsi="Times New Roman" w:cs="Times New Roman"/>
                <w:sz w:val="18"/>
                <w:szCs w:val="18"/>
              </w:rPr>
              <w:t>SKILMÁLAR VERÐBRÉFANNA</w:t>
            </w:r>
          </w:p>
        </w:tc>
        <w:tc>
          <w:tcPr>
            <w:tcW w:w="986" w:type="dxa"/>
            <w:tcBorders>
              <w:left w:val="nil"/>
            </w:tcBorders>
          </w:tcPr>
          <w:p w:rsidR="00EB1F15" w:rsidRPr="00501852" w:rsidRDefault="00EB1F15" w:rsidP="00FA026D">
            <w:pPr>
              <w:pStyle w:val="Tflutexti"/>
              <w:spacing w:after="0" w:line="240" w:lineRule="auto"/>
              <w:rPr>
                <w:rFonts w:ascii="Times New Roman" w:hAnsi="Times New Roman" w:cs="Times New Roman"/>
                <w:sz w:val="18"/>
                <w:szCs w:val="18"/>
              </w:rPr>
            </w:pPr>
          </w:p>
        </w:tc>
      </w:tr>
      <w:tr w:rsidR="006F4DC8" w:rsidRPr="00501852" w:rsidTr="00501852">
        <w:trPr>
          <w:trHeight w:val="394"/>
        </w:trPr>
        <w:tc>
          <w:tcPr>
            <w:tcW w:w="838" w:type="dxa"/>
          </w:tcPr>
          <w:p w:rsidR="006F4DC8" w:rsidRPr="00501852" w:rsidRDefault="006F4DC8" w:rsidP="00FE78CE">
            <w:pPr>
              <w:pStyle w:val="Tflutexti"/>
              <w:spacing w:line="240" w:lineRule="auto"/>
              <w:rPr>
                <w:rFonts w:ascii="Times New Roman" w:hAnsi="Times New Roman" w:cs="Times New Roman"/>
                <w:sz w:val="18"/>
                <w:szCs w:val="18"/>
              </w:rPr>
            </w:pPr>
          </w:p>
        </w:tc>
        <w:tc>
          <w:tcPr>
            <w:tcW w:w="1156" w:type="dxa"/>
            <w:gridSpan w:val="2"/>
          </w:tcPr>
          <w:p w:rsidR="006F4DC8" w:rsidRPr="00501852" w:rsidRDefault="006F4DC8" w:rsidP="00FE78CE">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Liður 3.1.</w:t>
            </w:r>
          </w:p>
        </w:tc>
        <w:tc>
          <w:tcPr>
            <w:tcW w:w="7366" w:type="dxa"/>
            <w:gridSpan w:val="2"/>
          </w:tcPr>
          <w:p w:rsidR="006F4DC8" w:rsidRPr="00501852" w:rsidRDefault="006F4DC8" w:rsidP="006F4DC8">
            <w:pPr>
              <w:pStyle w:val="Tflutexti"/>
              <w:spacing w:after="0" w:line="240" w:lineRule="auto"/>
              <w:rPr>
                <w:rFonts w:ascii="Times New Roman" w:hAnsi="Times New Roman" w:cs="Times New Roman"/>
                <w:sz w:val="18"/>
                <w:szCs w:val="18"/>
              </w:rPr>
            </w:pPr>
            <w:r w:rsidRPr="00501852">
              <w:rPr>
                <w:rFonts w:ascii="Times New Roman" w:hAnsi="Times New Roman" w:cs="Times New Roman"/>
                <w:sz w:val="18"/>
                <w:szCs w:val="18"/>
              </w:rPr>
              <w:t>Upplýsingar um verðbréf sem á að bjóða</w:t>
            </w:r>
          </w:p>
        </w:tc>
      </w:tr>
      <w:tr w:rsidR="00FE78CE" w:rsidRPr="00501852" w:rsidTr="00501852">
        <w:trPr>
          <w:trHeight w:val="567"/>
        </w:trPr>
        <w:tc>
          <w:tcPr>
            <w:tcW w:w="838" w:type="dxa"/>
          </w:tcPr>
          <w:p w:rsidR="00FE78CE" w:rsidRPr="00501852" w:rsidRDefault="00FE78CE" w:rsidP="00FE78CE">
            <w:pPr>
              <w:pStyle w:val="Tflutexti"/>
              <w:spacing w:line="240" w:lineRule="auto"/>
              <w:rPr>
                <w:rFonts w:ascii="Times New Roman" w:hAnsi="Times New Roman" w:cs="Times New Roman"/>
                <w:sz w:val="18"/>
                <w:szCs w:val="18"/>
              </w:rPr>
            </w:pPr>
          </w:p>
        </w:tc>
        <w:tc>
          <w:tcPr>
            <w:tcW w:w="1156" w:type="dxa"/>
            <w:gridSpan w:val="2"/>
          </w:tcPr>
          <w:p w:rsidR="00FE78CE" w:rsidRPr="00501852" w:rsidRDefault="00FE78CE" w:rsidP="00FE78CE">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Liður 3.1.1.</w:t>
            </w:r>
          </w:p>
        </w:tc>
        <w:tc>
          <w:tcPr>
            <w:tcW w:w="6380" w:type="dxa"/>
          </w:tcPr>
          <w:p w:rsidR="00FE78CE" w:rsidRPr="00501852" w:rsidRDefault="00FE78CE" w:rsidP="00FE78CE">
            <w:pPr>
              <w:pStyle w:val="Tflutexti"/>
              <w:rPr>
                <w:rFonts w:ascii="Times New Roman" w:hAnsi="Times New Roman" w:cs="Times New Roman"/>
                <w:sz w:val="18"/>
                <w:szCs w:val="18"/>
              </w:rPr>
            </w:pPr>
            <w:r w:rsidRPr="00501852">
              <w:rPr>
                <w:rFonts w:ascii="Times New Roman" w:hAnsi="Times New Roman" w:cs="Times New Roman"/>
                <w:sz w:val="18"/>
                <w:szCs w:val="18"/>
              </w:rPr>
              <w:t>Lýsing á tegund og flokki verðbréfa sem boðin eru.</w:t>
            </w:r>
          </w:p>
          <w:p w:rsidR="00FE78CE" w:rsidRPr="00501852" w:rsidRDefault="00FE78CE" w:rsidP="00FE78CE">
            <w:pPr>
              <w:pStyle w:val="Tflutexti"/>
              <w:rPr>
                <w:rFonts w:ascii="Times New Roman" w:hAnsi="Times New Roman" w:cs="Times New Roman"/>
                <w:sz w:val="18"/>
                <w:szCs w:val="18"/>
              </w:rPr>
            </w:pPr>
            <w:r w:rsidRPr="00501852">
              <w:rPr>
                <w:rFonts w:ascii="Times New Roman" w:hAnsi="Times New Roman" w:cs="Times New Roman"/>
                <w:sz w:val="18"/>
                <w:szCs w:val="18"/>
              </w:rPr>
              <w:t>Alþjóðlegt auðkennisnúmer (ISIN-númer) verðbréfanna sem boðin eru.</w:t>
            </w:r>
          </w:p>
        </w:tc>
        <w:tc>
          <w:tcPr>
            <w:tcW w:w="986" w:type="dxa"/>
          </w:tcPr>
          <w:p w:rsidR="00FE78CE" w:rsidRPr="00501852" w:rsidRDefault="00FE78CE" w:rsidP="00FE78CE">
            <w:pPr>
              <w:pStyle w:val="Tflutexti"/>
              <w:spacing w:after="0" w:line="240" w:lineRule="auto"/>
              <w:rPr>
                <w:rFonts w:ascii="Times New Roman" w:hAnsi="Times New Roman" w:cs="Times New Roman"/>
                <w:sz w:val="18"/>
                <w:szCs w:val="18"/>
              </w:rPr>
            </w:pPr>
            <w:r w:rsidRPr="00501852">
              <w:rPr>
                <w:rFonts w:ascii="Times New Roman" w:hAnsi="Times New Roman" w:cs="Times New Roman"/>
                <w:sz w:val="18"/>
                <w:szCs w:val="18"/>
              </w:rPr>
              <w:t>Flokkur A</w:t>
            </w:r>
          </w:p>
          <w:p w:rsidR="00FE78CE" w:rsidRPr="00501852" w:rsidRDefault="00FE78CE" w:rsidP="00FE78CE">
            <w:pPr>
              <w:pStyle w:val="Tflutexti"/>
              <w:spacing w:after="0" w:line="240" w:lineRule="auto"/>
              <w:rPr>
                <w:rFonts w:ascii="Times New Roman" w:hAnsi="Times New Roman" w:cs="Times New Roman"/>
                <w:sz w:val="18"/>
                <w:szCs w:val="18"/>
              </w:rPr>
            </w:pPr>
            <w:r w:rsidRPr="00501852">
              <w:rPr>
                <w:rFonts w:ascii="Times New Roman" w:hAnsi="Times New Roman" w:cs="Times New Roman"/>
                <w:sz w:val="18"/>
                <w:szCs w:val="18"/>
              </w:rPr>
              <w:t>Flokkur C</w:t>
            </w:r>
          </w:p>
        </w:tc>
      </w:tr>
      <w:tr w:rsidR="00FE78CE" w:rsidRPr="00501852" w:rsidTr="00501852">
        <w:trPr>
          <w:trHeight w:val="454"/>
        </w:trPr>
        <w:tc>
          <w:tcPr>
            <w:tcW w:w="838" w:type="dxa"/>
          </w:tcPr>
          <w:p w:rsidR="00FE78CE" w:rsidRPr="00501852" w:rsidRDefault="00FE78CE" w:rsidP="00FE78CE">
            <w:pPr>
              <w:pStyle w:val="Tflutexti"/>
              <w:spacing w:line="240" w:lineRule="auto"/>
              <w:rPr>
                <w:rFonts w:ascii="Times New Roman" w:hAnsi="Times New Roman" w:cs="Times New Roman"/>
                <w:sz w:val="18"/>
                <w:szCs w:val="18"/>
              </w:rPr>
            </w:pPr>
          </w:p>
        </w:tc>
        <w:tc>
          <w:tcPr>
            <w:tcW w:w="1156" w:type="dxa"/>
            <w:gridSpan w:val="2"/>
          </w:tcPr>
          <w:p w:rsidR="00FE78CE" w:rsidRPr="00501852" w:rsidRDefault="00FE78CE" w:rsidP="00FE78CE">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Liður 3.1.2.</w:t>
            </w:r>
          </w:p>
        </w:tc>
        <w:tc>
          <w:tcPr>
            <w:tcW w:w="6380" w:type="dxa"/>
          </w:tcPr>
          <w:p w:rsidR="00FE78CE" w:rsidRPr="00501852" w:rsidRDefault="00FE78CE" w:rsidP="00FE78CE">
            <w:pPr>
              <w:pStyle w:val="Tflutexti"/>
              <w:rPr>
                <w:rFonts w:ascii="Times New Roman" w:hAnsi="Times New Roman" w:cs="Times New Roman"/>
                <w:sz w:val="18"/>
                <w:szCs w:val="18"/>
              </w:rPr>
            </w:pPr>
            <w:r w:rsidRPr="00501852">
              <w:rPr>
                <w:rFonts w:ascii="Times New Roman" w:hAnsi="Times New Roman" w:cs="Times New Roman"/>
                <w:sz w:val="18"/>
                <w:szCs w:val="18"/>
              </w:rPr>
              <w:t>Löggjöfin sem verðbréfin eru gefin út samkvæmt.</w:t>
            </w:r>
          </w:p>
        </w:tc>
        <w:tc>
          <w:tcPr>
            <w:tcW w:w="986" w:type="dxa"/>
          </w:tcPr>
          <w:p w:rsidR="00FE78CE" w:rsidRPr="00501852" w:rsidRDefault="00FE78CE" w:rsidP="00FE78CE">
            <w:pPr>
              <w:pStyle w:val="Tflutexti"/>
              <w:spacing w:after="0" w:line="240" w:lineRule="auto"/>
              <w:rPr>
                <w:rFonts w:ascii="Times New Roman" w:hAnsi="Times New Roman" w:cs="Times New Roman"/>
                <w:sz w:val="18"/>
                <w:szCs w:val="18"/>
              </w:rPr>
            </w:pPr>
            <w:r w:rsidRPr="00501852">
              <w:rPr>
                <w:rFonts w:ascii="Times New Roman" w:hAnsi="Times New Roman" w:cs="Times New Roman"/>
                <w:sz w:val="18"/>
                <w:szCs w:val="18"/>
              </w:rPr>
              <w:t xml:space="preserve">Flokkur </w:t>
            </w:r>
            <w:r w:rsidR="0028302D" w:rsidRPr="00501852">
              <w:rPr>
                <w:rFonts w:ascii="Times New Roman" w:hAnsi="Times New Roman" w:cs="Times New Roman"/>
                <w:sz w:val="18"/>
                <w:szCs w:val="18"/>
              </w:rPr>
              <w:t>A</w:t>
            </w:r>
          </w:p>
        </w:tc>
      </w:tr>
      <w:tr w:rsidR="0028302D" w:rsidRPr="00501852" w:rsidTr="00501852">
        <w:trPr>
          <w:trHeight w:val="567"/>
        </w:trPr>
        <w:tc>
          <w:tcPr>
            <w:tcW w:w="838" w:type="dxa"/>
          </w:tcPr>
          <w:p w:rsidR="0028302D" w:rsidRPr="00501852" w:rsidRDefault="0028302D" w:rsidP="0028302D">
            <w:pPr>
              <w:pStyle w:val="Tflutexti"/>
              <w:spacing w:line="240" w:lineRule="auto"/>
              <w:rPr>
                <w:rFonts w:ascii="Times New Roman" w:hAnsi="Times New Roman" w:cs="Times New Roman"/>
                <w:sz w:val="18"/>
                <w:szCs w:val="18"/>
              </w:rPr>
            </w:pPr>
          </w:p>
        </w:tc>
        <w:tc>
          <w:tcPr>
            <w:tcW w:w="1156" w:type="dxa"/>
            <w:gridSpan w:val="2"/>
          </w:tcPr>
          <w:p w:rsidR="0028302D" w:rsidRPr="00501852" w:rsidRDefault="0028302D" w:rsidP="0028302D">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Liður 3.1.3.</w:t>
            </w:r>
          </w:p>
        </w:tc>
        <w:tc>
          <w:tcPr>
            <w:tcW w:w="6380" w:type="dxa"/>
          </w:tcPr>
          <w:p w:rsidR="0028302D" w:rsidRPr="00501852" w:rsidRDefault="0028302D" w:rsidP="0028302D">
            <w:pPr>
              <w:pStyle w:val="Tflutexti"/>
              <w:rPr>
                <w:rFonts w:ascii="Times New Roman" w:hAnsi="Times New Roman" w:cs="Times New Roman"/>
                <w:sz w:val="18"/>
                <w:szCs w:val="18"/>
              </w:rPr>
            </w:pPr>
            <w:r w:rsidRPr="00501852">
              <w:rPr>
                <w:rFonts w:ascii="Times New Roman" w:hAnsi="Times New Roman" w:cs="Times New Roman"/>
                <w:sz w:val="18"/>
                <w:szCs w:val="18"/>
              </w:rPr>
              <w:t>Upplýsingar um hvort verðbréfin eru nafnbréf eða handhafabréf og hvort þau eru í skírteinisformi eða rafrænt skráð.</w:t>
            </w:r>
          </w:p>
          <w:p w:rsidR="0028302D" w:rsidRPr="00501852" w:rsidRDefault="0028302D" w:rsidP="0028302D">
            <w:pPr>
              <w:pStyle w:val="Tflutexti"/>
              <w:rPr>
                <w:rFonts w:ascii="Times New Roman" w:hAnsi="Times New Roman" w:cs="Times New Roman"/>
                <w:sz w:val="18"/>
                <w:szCs w:val="18"/>
              </w:rPr>
            </w:pPr>
            <w:r w:rsidRPr="00501852">
              <w:rPr>
                <w:rFonts w:ascii="Times New Roman" w:hAnsi="Times New Roman" w:cs="Times New Roman"/>
                <w:sz w:val="18"/>
                <w:szCs w:val="18"/>
              </w:rPr>
              <w:t>Sé um að ræða rafræna skráningu skal tilgreina nafn og heimilisfang aðilans sem sér um skráninguna.</w:t>
            </w:r>
          </w:p>
        </w:tc>
        <w:tc>
          <w:tcPr>
            <w:tcW w:w="986" w:type="dxa"/>
          </w:tcPr>
          <w:p w:rsidR="0028302D" w:rsidRPr="00501852" w:rsidRDefault="0028302D" w:rsidP="006C6CCD">
            <w:pPr>
              <w:pStyle w:val="Tflutexti"/>
              <w:spacing w:before="130" w:after="0" w:line="240" w:lineRule="auto"/>
              <w:rPr>
                <w:rFonts w:ascii="Times New Roman" w:hAnsi="Times New Roman" w:cs="Times New Roman"/>
                <w:sz w:val="18"/>
                <w:szCs w:val="18"/>
              </w:rPr>
            </w:pPr>
            <w:r w:rsidRPr="00501852">
              <w:rPr>
                <w:rFonts w:ascii="Times New Roman" w:hAnsi="Times New Roman" w:cs="Times New Roman"/>
                <w:sz w:val="18"/>
                <w:szCs w:val="18"/>
              </w:rPr>
              <w:t>Flokkur A</w:t>
            </w:r>
          </w:p>
          <w:p w:rsidR="00282CF3" w:rsidRPr="00501852" w:rsidRDefault="00282CF3" w:rsidP="006C6CCD">
            <w:pPr>
              <w:pStyle w:val="Tflutexti"/>
              <w:spacing w:after="0" w:line="240" w:lineRule="auto"/>
              <w:rPr>
                <w:rFonts w:ascii="Times New Roman" w:hAnsi="Times New Roman" w:cs="Times New Roman"/>
                <w:sz w:val="18"/>
                <w:szCs w:val="18"/>
              </w:rPr>
            </w:pPr>
          </w:p>
          <w:p w:rsidR="0028302D" w:rsidRPr="00501852" w:rsidRDefault="0028302D" w:rsidP="00282CF3">
            <w:pPr>
              <w:pStyle w:val="Tflutexti"/>
              <w:spacing w:before="0" w:line="240" w:lineRule="auto"/>
              <w:rPr>
                <w:rFonts w:ascii="Times New Roman" w:hAnsi="Times New Roman" w:cs="Times New Roman"/>
                <w:sz w:val="18"/>
                <w:szCs w:val="18"/>
              </w:rPr>
            </w:pPr>
            <w:r w:rsidRPr="00501852">
              <w:rPr>
                <w:rFonts w:ascii="Times New Roman" w:hAnsi="Times New Roman" w:cs="Times New Roman"/>
                <w:sz w:val="18"/>
                <w:szCs w:val="18"/>
              </w:rPr>
              <w:t>Flokkur C</w:t>
            </w:r>
          </w:p>
        </w:tc>
      </w:tr>
      <w:tr w:rsidR="0028302D" w:rsidRPr="00501852" w:rsidTr="00501852">
        <w:trPr>
          <w:trHeight w:val="377"/>
        </w:trPr>
        <w:tc>
          <w:tcPr>
            <w:tcW w:w="838" w:type="dxa"/>
          </w:tcPr>
          <w:p w:rsidR="0028302D" w:rsidRPr="00501852" w:rsidRDefault="0028302D" w:rsidP="0028302D">
            <w:pPr>
              <w:pStyle w:val="Tflutexti"/>
              <w:spacing w:line="240" w:lineRule="auto"/>
              <w:rPr>
                <w:rFonts w:ascii="Times New Roman" w:hAnsi="Times New Roman" w:cs="Times New Roman"/>
                <w:sz w:val="18"/>
                <w:szCs w:val="18"/>
              </w:rPr>
            </w:pPr>
          </w:p>
        </w:tc>
        <w:tc>
          <w:tcPr>
            <w:tcW w:w="1156" w:type="dxa"/>
            <w:gridSpan w:val="2"/>
          </w:tcPr>
          <w:p w:rsidR="0028302D" w:rsidRPr="00501852" w:rsidRDefault="0028302D" w:rsidP="0028302D">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Liður 3.1.4.</w:t>
            </w:r>
          </w:p>
        </w:tc>
        <w:tc>
          <w:tcPr>
            <w:tcW w:w="6380" w:type="dxa"/>
          </w:tcPr>
          <w:p w:rsidR="0028302D" w:rsidRPr="00501852" w:rsidRDefault="0028302D" w:rsidP="0028302D">
            <w:pPr>
              <w:pStyle w:val="Tflutexti"/>
              <w:spacing w:after="0" w:line="240" w:lineRule="auto"/>
              <w:rPr>
                <w:rFonts w:ascii="Times New Roman" w:hAnsi="Times New Roman" w:cs="Times New Roman"/>
                <w:sz w:val="18"/>
                <w:szCs w:val="18"/>
              </w:rPr>
            </w:pPr>
            <w:r w:rsidRPr="00501852">
              <w:rPr>
                <w:rFonts w:ascii="Times New Roman" w:hAnsi="Times New Roman" w:cs="Times New Roman"/>
                <w:sz w:val="18"/>
                <w:szCs w:val="18"/>
              </w:rPr>
              <w:t>Gjaldmiðill sem verðbréfin eru gefin út í.</w:t>
            </w:r>
          </w:p>
        </w:tc>
        <w:tc>
          <w:tcPr>
            <w:tcW w:w="986" w:type="dxa"/>
          </w:tcPr>
          <w:p w:rsidR="0028302D" w:rsidRPr="00501852" w:rsidRDefault="0028302D" w:rsidP="0028302D">
            <w:pPr>
              <w:pStyle w:val="Tflutexti"/>
              <w:spacing w:after="0" w:line="240" w:lineRule="auto"/>
              <w:rPr>
                <w:rFonts w:ascii="Times New Roman" w:hAnsi="Times New Roman" w:cs="Times New Roman"/>
                <w:sz w:val="18"/>
                <w:szCs w:val="18"/>
              </w:rPr>
            </w:pPr>
            <w:r w:rsidRPr="00501852">
              <w:rPr>
                <w:rFonts w:ascii="Times New Roman" w:hAnsi="Times New Roman" w:cs="Times New Roman"/>
                <w:sz w:val="18"/>
                <w:szCs w:val="18"/>
              </w:rPr>
              <w:t>Flokkur C</w:t>
            </w:r>
          </w:p>
        </w:tc>
      </w:tr>
      <w:tr w:rsidR="0028302D" w:rsidRPr="00501852" w:rsidTr="00501852">
        <w:trPr>
          <w:trHeight w:val="567"/>
        </w:trPr>
        <w:tc>
          <w:tcPr>
            <w:tcW w:w="838" w:type="dxa"/>
          </w:tcPr>
          <w:p w:rsidR="0028302D" w:rsidRPr="00501852" w:rsidRDefault="0028302D" w:rsidP="0028302D">
            <w:pPr>
              <w:pStyle w:val="Tflutexti"/>
              <w:spacing w:line="240" w:lineRule="auto"/>
              <w:rPr>
                <w:rFonts w:ascii="Times New Roman" w:hAnsi="Times New Roman" w:cs="Times New Roman"/>
                <w:sz w:val="18"/>
                <w:szCs w:val="18"/>
              </w:rPr>
            </w:pPr>
          </w:p>
        </w:tc>
        <w:tc>
          <w:tcPr>
            <w:tcW w:w="1156" w:type="dxa"/>
            <w:gridSpan w:val="2"/>
          </w:tcPr>
          <w:p w:rsidR="0028302D" w:rsidRPr="00501852" w:rsidRDefault="0028302D" w:rsidP="0028302D">
            <w:pPr>
              <w:pStyle w:val="Tflutexti"/>
              <w:tabs>
                <w:tab w:val="left" w:pos="657"/>
              </w:tabs>
              <w:spacing w:line="240" w:lineRule="auto"/>
              <w:rPr>
                <w:rFonts w:ascii="Times New Roman" w:hAnsi="Times New Roman" w:cs="Times New Roman"/>
                <w:sz w:val="18"/>
                <w:szCs w:val="18"/>
              </w:rPr>
            </w:pPr>
            <w:r w:rsidRPr="00501852">
              <w:rPr>
                <w:rFonts w:ascii="Times New Roman" w:hAnsi="Times New Roman" w:cs="Times New Roman"/>
                <w:sz w:val="18"/>
                <w:szCs w:val="18"/>
              </w:rPr>
              <w:t>Liður 3.1.5.</w:t>
            </w:r>
          </w:p>
        </w:tc>
        <w:tc>
          <w:tcPr>
            <w:tcW w:w="6380" w:type="dxa"/>
          </w:tcPr>
          <w:p w:rsidR="0028302D" w:rsidRPr="00501852" w:rsidRDefault="0028302D" w:rsidP="0028302D">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Rétthæð verðbréfanna í fjármagnsskipan útgefanda ef til gjaldþrotaskipta kæmi, þ.m.t., eftir atvikum, upplýsingar um víkjandi stöðu verðbréfanna og möguleg áhrif á fjárfestinguna ef til skilameðferðar kæmi samkvæmt tilskipun 2014/59/ESB.</w:t>
            </w:r>
          </w:p>
        </w:tc>
        <w:tc>
          <w:tcPr>
            <w:tcW w:w="986" w:type="dxa"/>
          </w:tcPr>
          <w:p w:rsidR="0028302D" w:rsidRPr="00501852" w:rsidRDefault="0028302D" w:rsidP="0028302D">
            <w:pPr>
              <w:pStyle w:val="Tflutexti"/>
              <w:spacing w:after="0" w:line="240" w:lineRule="auto"/>
              <w:rPr>
                <w:rFonts w:ascii="Times New Roman" w:hAnsi="Times New Roman" w:cs="Times New Roman"/>
                <w:sz w:val="18"/>
                <w:szCs w:val="18"/>
              </w:rPr>
            </w:pPr>
            <w:r w:rsidRPr="00501852">
              <w:rPr>
                <w:rFonts w:ascii="Times New Roman" w:hAnsi="Times New Roman" w:cs="Times New Roman"/>
                <w:sz w:val="18"/>
                <w:szCs w:val="18"/>
              </w:rPr>
              <w:t>Flokkur A</w:t>
            </w:r>
          </w:p>
        </w:tc>
      </w:tr>
      <w:tr w:rsidR="0028302D" w:rsidRPr="00501852" w:rsidTr="00501852">
        <w:trPr>
          <w:trHeight w:val="567"/>
        </w:trPr>
        <w:tc>
          <w:tcPr>
            <w:tcW w:w="838" w:type="dxa"/>
          </w:tcPr>
          <w:p w:rsidR="0028302D" w:rsidRPr="00501852" w:rsidRDefault="0028302D" w:rsidP="0028302D">
            <w:pPr>
              <w:pStyle w:val="Tflutexti"/>
              <w:spacing w:line="240" w:lineRule="auto"/>
              <w:rPr>
                <w:rFonts w:ascii="Times New Roman" w:hAnsi="Times New Roman" w:cs="Times New Roman"/>
                <w:sz w:val="18"/>
                <w:szCs w:val="18"/>
              </w:rPr>
            </w:pPr>
          </w:p>
        </w:tc>
        <w:tc>
          <w:tcPr>
            <w:tcW w:w="1156" w:type="dxa"/>
            <w:gridSpan w:val="2"/>
          </w:tcPr>
          <w:p w:rsidR="0028302D" w:rsidRPr="00501852" w:rsidRDefault="0028302D" w:rsidP="0028302D">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Liður 3.1.6.</w:t>
            </w:r>
          </w:p>
        </w:tc>
        <w:tc>
          <w:tcPr>
            <w:tcW w:w="6380" w:type="dxa"/>
          </w:tcPr>
          <w:p w:rsidR="0028302D" w:rsidRPr="00501852" w:rsidRDefault="0028302D" w:rsidP="0028302D">
            <w:pPr>
              <w:pStyle w:val="Tflutexti"/>
              <w:spacing w:after="0" w:line="240" w:lineRule="auto"/>
              <w:rPr>
                <w:rFonts w:ascii="Times New Roman" w:hAnsi="Times New Roman" w:cs="Times New Roman"/>
                <w:sz w:val="18"/>
                <w:szCs w:val="18"/>
              </w:rPr>
            </w:pPr>
            <w:r w:rsidRPr="00501852">
              <w:rPr>
                <w:rFonts w:ascii="Times New Roman" w:hAnsi="Times New Roman" w:cs="Times New Roman"/>
                <w:sz w:val="18"/>
                <w:szCs w:val="18"/>
              </w:rPr>
              <w:t>Lýsing á réttindum sem fylgja verðbréfunum, þ.m.t. hvers kyns takmörkunum á þessum réttindum, og tilhögun við nýtingu þeirra.</w:t>
            </w:r>
          </w:p>
        </w:tc>
        <w:tc>
          <w:tcPr>
            <w:tcW w:w="986" w:type="dxa"/>
          </w:tcPr>
          <w:p w:rsidR="0028302D" w:rsidRPr="00501852" w:rsidRDefault="0028302D" w:rsidP="0028302D">
            <w:pPr>
              <w:pStyle w:val="Tflutexti"/>
              <w:spacing w:after="0" w:line="240" w:lineRule="auto"/>
              <w:rPr>
                <w:rFonts w:ascii="Times New Roman" w:hAnsi="Times New Roman" w:cs="Times New Roman"/>
                <w:sz w:val="18"/>
                <w:szCs w:val="18"/>
              </w:rPr>
            </w:pPr>
            <w:r w:rsidRPr="00501852">
              <w:rPr>
                <w:rFonts w:ascii="Times New Roman" w:hAnsi="Times New Roman" w:cs="Times New Roman"/>
                <w:sz w:val="18"/>
                <w:szCs w:val="18"/>
              </w:rPr>
              <w:t>Flokkur B</w:t>
            </w:r>
          </w:p>
        </w:tc>
      </w:tr>
      <w:tr w:rsidR="0028302D" w:rsidRPr="00501852" w:rsidTr="00501852">
        <w:trPr>
          <w:trHeight w:val="567"/>
        </w:trPr>
        <w:tc>
          <w:tcPr>
            <w:tcW w:w="838" w:type="dxa"/>
          </w:tcPr>
          <w:p w:rsidR="0028302D" w:rsidRPr="00501852" w:rsidRDefault="0028302D" w:rsidP="0028302D">
            <w:pPr>
              <w:pStyle w:val="Tflutexti"/>
              <w:spacing w:line="240" w:lineRule="auto"/>
              <w:rPr>
                <w:rFonts w:ascii="Times New Roman" w:hAnsi="Times New Roman" w:cs="Times New Roman"/>
                <w:sz w:val="18"/>
                <w:szCs w:val="18"/>
              </w:rPr>
            </w:pPr>
          </w:p>
        </w:tc>
        <w:tc>
          <w:tcPr>
            <w:tcW w:w="1156" w:type="dxa"/>
            <w:gridSpan w:val="2"/>
          </w:tcPr>
          <w:p w:rsidR="0028302D" w:rsidRPr="00501852" w:rsidRDefault="0028302D" w:rsidP="0028302D">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Liður 3.1.7.</w:t>
            </w:r>
          </w:p>
        </w:tc>
        <w:tc>
          <w:tcPr>
            <w:tcW w:w="6380" w:type="dxa"/>
          </w:tcPr>
          <w:p w:rsidR="0028302D" w:rsidRPr="00501852" w:rsidRDefault="0028302D" w:rsidP="0028302D">
            <w:pPr>
              <w:pStyle w:val="Tflutexti"/>
              <w:spacing w:after="0"/>
              <w:ind w:left="357" w:hanging="357"/>
              <w:rPr>
                <w:rFonts w:ascii="Times New Roman" w:hAnsi="Times New Roman" w:cs="Times New Roman"/>
                <w:sz w:val="18"/>
                <w:szCs w:val="18"/>
              </w:rPr>
            </w:pPr>
            <w:r w:rsidRPr="00501852">
              <w:rPr>
                <w:rFonts w:ascii="Times New Roman" w:hAnsi="Times New Roman" w:cs="Times New Roman"/>
                <w:sz w:val="18"/>
                <w:szCs w:val="18"/>
              </w:rPr>
              <w:t>a)</w:t>
            </w:r>
            <w:r w:rsidRPr="00501852">
              <w:rPr>
                <w:rFonts w:ascii="Times New Roman" w:hAnsi="Times New Roman" w:cs="Times New Roman"/>
                <w:sz w:val="18"/>
                <w:szCs w:val="18"/>
              </w:rPr>
              <w:tab/>
              <w:t>Nafnvextir,</w:t>
            </w:r>
          </w:p>
          <w:p w:rsidR="0028302D" w:rsidRPr="00501852" w:rsidRDefault="0028302D" w:rsidP="0028302D">
            <w:pPr>
              <w:pStyle w:val="Tflutexti"/>
              <w:spacing w:before="0" w:after="0"/>
              <w:ind w:left="357" w:hanging="357"/>
              <w:rPr>
                <w:rFonts w:ascii="Times New Roman" w:hAnsi="Times New Roman" w:cs="Times New Roman"/>
                <w:sz w:val="18"/>
                <w:szCs w:val="18"/>
              </w:rPr>
            </w:pPr>
            <w:r w:rsidRPr="00501852">
              <w:rPr>
                <w:rFonts w:ascii="Times New Roman" w:hAnsi="Times New Roman" w:cs="Times New Roman"/>
                <w:sz w:val="18"/>
                <w:szCs w:val="18"/>
              </w:rPr>
              <w:t>b)</w:t>
            </w:r>
            <w:r w:rsidRPr="00501852">
              <w:rPr>
                <w:rFonts w:ascii="Times New Roman" w:hAnsi="Times New Roman" w:cs="Times New Roman"/>
                <w:sz w:val="18"/>
                <w:szCs w:val="18"/>
              </w:rPr>
              <w:tab/>
              <w:t>ákvæði um vexti til greiðslu,</w:t>
            </w:r>
          </w:p>
          <w:p w:rsidR="0028302D" w:rsidRPr="00501852" w:rsidRDefault="0028302D" w:rsidP="0028302D">
            <w:pPr>
              <w:pStyle w:val="Tflutexti"/>
              <w:spacing w:before="0" w:after="0"/>
              <w:ind w:left="357" w:hanging="357"/>
              <w:rPr>
                <w:rFonts w:ascii="Times New Roman" w:hAnsi="Times New Roman" w:cs="Times New Roman"/>
                <w:sz w:val="18"/>
                <w:szCs w:val="18"/>
              </w:rPr>
            </w:pPr>
            <w:r w:rsidRPr="00501852">
              <w:rPr>
                <w:rFonts w:ascii="Times New Roman" w:hAnsi="Times New Roman" w:cs="Times New Roman"/>
                <w:sz w:val="18"/>
                <w:szCs w:val="18"/>
              </w:rPr>
              <w:t>c)</w:t>
            </w:r>
            <w:r w:rsidRPr="00501852">
              <w:rPr>
                <w:rFonts w:ascii="Times New Roman" w:hAnsi="Times New Roman" w:cs="Times New Roman"/>
                <w:sz w:val="18"/>
                <w:szCs w:val="18"/>
              </w:rPr>
              <w:tab/>
              <w:t>upphafsdagur vaxta,</w:t>
            </w:r>
          </w:p>
          <w:p w:rsidR="0028302D" w:rsidRPr="00501852" w:rsidRDefault="0028302D" w:rsidP="0028302D">
            <w:pPr>
              <w:pStyle w:val="Tflutexti"/>
              <w:spacing w:before="0" w:after="0"/>
              <w:ind w:left="357" w:hanging="357"/>
              <w:rPr>
                <w:rFonts w:ascii="Times New Roman" w:hAnsi="Times New Roman" w:cs="Times New Roman"/>
                <w:sz w:val="18"/>
                <w:szCs w:val="18"/>
              </w:rPr>
            </w:pPr>
            <w:r w:rsidRPr="00501852">
              <w:rPr>
                <w:rFonts w:ascii="Times New Roman" w:hAnsi="Times New Roman" w:cs="Times New Roman"/>
                <w:sz w:val="18"/>
                <w:szCs w:val="18"/>
              </w:rPr>
              <w:t>d)</w:t>
            </w:r>
            <w:r w:rsidRPr="00501852">
              <w:rPr>
                <w:rFonts w:ascii="Times New Roman" w:hAnsi="Times New Roman" w:cs="Times New Roman"/>
                <w:sz w:val="18"/>
                <w:szCs w:val="18"/>
              </w:rPr>
              <w:tab/>
              <w:t>gjalddagar vaxta,</w:t>
            </w:r>
          </w:p>
          <w:p w:rsidR="0028302D" w:rsidRPr="00501852" w:rsidRDefault="0028302D" w:rsidP="0028302D">
            <w:pPr>
              <w:pStyle w:val="Tflutexti"/>
              <w:spacing w:before="0" w:after="0"/>
              <w:ind w:left="357" w:hanging="357"/>
              <w:rPr>
                <w:rFonts w:ascii="Times New Roman" w:hAnsi="Times New Roman" w:cs="Times New Roman"/>
                <w:sz w:val="18"/>
                <w:szCs w:val="18"/>
              </w:rPr>
            </w:pPr>
            <w:r w:rsidRPr="00501852">
              <w:rPr>
                <w:rFonts w:ascii="Times New Roman" w:hAnsi="Times New Roman" w:cs="Times New Roman"/>
                <w:sz w:val="18"/>
                <w:szCs w:val="18"/>
              </w:rPr>
              <w:t>e)</w:t>
            </w:r>
            <w:r w:rsidRPr="00501852">
              <w:rPr>
                <w:rFonts w:ascii="Times New Roman" w:hAnsi="Times New Roman" w:cs="Times New Roman"/>
                <w:sz w:val="18"/>
                <w:szCs w:val="18"/>
              </w:rPr>
              <w:tab/>
              <w:t>fyrningarfrestur á vaxtakröfum og kröfum til endurgreiðslu höfuðstóls.</w:t>
            </w:r>
          </w:p>
          <w:p w:rsidR="0028302D" w:rsidRPr="00501852" w:rsidRDefault="0028302D" w:rsidP="0028302D">
            <w:pPr>
              <w:pStyle w:val="Tflutexti"/>
              <w:spacing w:after="0"/>
              <w:ind w:left="357" w:hanging="357"/>
              <w:rPr>
                <w:rFonts w:ascii="Times New Roman" w:hAnsi="Times New Roman" w:cs="Times New Roman"/>
                <w:sz w:val="18"/>
                <w:szCs w:val="18"/>
              </w:rPr>
            </w:pPr>
            <w:r w:rsidRPr="00501852">
              <w:rPr>
                <w:rFonts w:ascii="Times New Roman" w:hAnsi="Times New Roman" w:cs="Times New Roman"/>
                <w:sz w:val="18"/>
                <w:szCs w:val="18"/>
              </w:rPr>
              <w:t>Ef vextirnir eru ekki fastir:</w:t>
            </w:r>
          </w:p>
          <w:p w:rsidR="0028302D" w:rsidRPr="00501852" w:rsidRDefault="0028302D" w:rsidP="0028302D">
            <w:pPr>
              <w:pStyle w:val="Tflutexti"/>
              <w:spacing w:before="0" w:after="0"/>
              <w:ind w:left="357" w:hanging="357"/>
              <w:rPr>
                <w:rFonts w:ascii="Times New Roman" w:hAnsi="Times New Roman" w:cs="Times New Roman"/>
                <w:sz w:val="18"/>
                <w:szCs w:val="18"/>
              </w:rPr>
            </w:pPr>
            <w:r w:rsidRPr="00501852">
              <w:rPr>
                <w:rFonts w:ascii="Times New Roman" w:hAnsi="Times New Roman" w:cs="Times New Roman"/>
                <w:sz w:val="18"/>
                <w:szCs w:val="18"/>
              </w:rPr>
              <w:t>a)</w:t>
            </w:r>
            <w:r w:rsidRPr="00501852">
              <w:rPr>
                <w:rFonts w:ascii="Times New Roman" w:hAnsi="Times New Roman" w:cs="Times New Roman"/>
                <w:sz w:val="18"/>
                <w:szCs w:val="18"/>
              </w:rPr>
              <w:tab/>
              <w:t>tilgreining á tegund undirliggjandi þáttar,</w:t>
            </w:r>
          </w:p>
          <w:p w:rsidR="0028302D" w:rsidRPr="00501852" w:rsidRDefault="0028302D" w:rsidP="0028302D">
            <w:pPr>
              <w:pStyle w:val="Tflutexti"/>
              <w:spacing w:before="0" w:after="0"/>
              <w:ind w:left="357" w:hanging="357"/>
              <w:rPr>
                <w:rFonts w:ascii="Times New Roman" w:hAnsi="Times New Roman" w:cs="Times New Roman"/>
                <w:sz w:val="18"/>
                <w:szCs w:val="18"/>
              </w:rPr>
            </w:pPr>
            <w:r w:rsidRPr="00501852">
              <w:rPr>
                <w:rFonts w:ascii="Times New Roman" w:hAnsi="Times New Roman" w:cs="Times New Roman"/>
                <w:sz w:val="18"/>
                <w:szCs w:val="18"/>
              </w:rPr>
              <w:t>b)</w:t>
            </w:r>
            <w:r w:rsidRPr="00501852">
              <w:rPr>
                <w:rFonts w:ascii="Times New Roman" w:hAnsi="Times New Roman" w:cs="Times New Roman"/>
                <w:sz w:val="18"/>
                <w:szCs w:val="18"/>
              </w:rPr>
              <w:tab/>
              <w:t>lýsing á þeim undirliggjandi þætti sem vextirnir byggjast á,</w:t>
            </w:r>
          </w:p>
          <w:p w:rsidR="0028302D" w:rsidRPr="00501852" w:rsidRDefault="0028302D" w:rsidP="0028302D">
            <w:pPr>
              <w:pStyle w:val="Tflutexti"/>
              <w:spacing w:before="0" w:after="0"/>
              <w:ind w:left="357" w:hanging="357"/>
              <w:rPr>
                <w:rFonts w:ascii="Times New Roman" w:hAnsi="Times New Roman" w:cs="Times New Roman"/>
                <w:sz w:val="18"/>
                <w:szCs w:val="18"/>
              </w:rPr>
            </w:pPr>
            <w:r w:rsidRPr="00501852">
              <w:rPr>
                <w:rFonts w:ascii="Times New Roman" w:hAnsi="Times New Roman" w:cs="Times New Roman"/>
                <w:sz w:val="18"/>
                <w:szCs w:val="18"/>
              </w:rPr>
              <w:t>c)</w:t>
            </w:r>
            <w:r w:rsidRPr="00501852">
              <w:rPr>
                <w:rFonts w:ascii="Times New Roman" w:hAnsi="Times New Roman" w:cs="Times New Roman"/>
                <w:sz w:val="18"/>
                <w:szCs w:val="18"/>
              </w:rPr>
              <w:tab/>
              <w:t>aðferð sem er notuð til að tengja vextina við undirliggjandi þáttinn,</w:t>
            </w:r>
          </w:p>
          <w:p w:rsidR="0028302D" w:rsidRPr="00501852" w:rsidRDefault="0028302D" w:rsidP="0028302D">
            <w:pPr>
              <w:pStyle w:val="Tflutexti"/>
              <w:spacing w:before="0" w:after="0"/>
              <w:ind w:left="357" w:hanging="357"/>
              <w:rPr>
                <w:rFonts w:ascii="Times New Roman" w:hAnsi="Times New Roman" w:cs="Times New Roman"/>
                <w:sz w:val="18"/>
                <w:szCs w:val="18"/>
              </w:rPr>
            </w:pPr>
            <w:r w:rsidRPr="00501852">
              <w:rPr>
                <w:rFonts w:ascii="Times New Roman" w:hAnsi="Times New Roman" w:cs="Times New Roman"/>
                <w:sz w:val="18"/>
                <w:szCs w:val="18"/>
              </w:rPr>
              <w:t>d)</w:t>
            </w:r>
            <w:r w:rsidRPr="00501852">
              <w:rPr>
                <w:rFonts w:ascii="Times New Roman" w:hAnsi="Times New Roman" w:cs="Times New Roman"/>
                <w:sz w:val="18"/>
                <w:szCs w:val="18"/>
              </w:rPr>
              <w:tab/>
              <w:t>hvar má nálgast upplýsingar um fyrri árangur og frekari árangur undirliggjandi þáttar og flökt hans með rafrænum hætti og hvort hægt sé að nálgast þær ókeypis,</w:t>
            </w:r>
          </w:p>
          <w:p w:rsidR="0028302D" w:rsidRPr="00501852" w:rsidRDefault="0028302D" w:rsidP="0028302D">
            <w:pPr>
              <w:pStyle w:val="Tflutexti"/>
              <w:spacing w:before="0" w:after="0"/>
              <w:ind w:left="357" w:hanging="357"/>
              <w:rPr>
                <w:rFonts w:ascii="Times New Roman" w:hAnsi="Times New Roman" w:cs="Times New Roman"/>
                <w:sz w:val="18"/>
                <w:szCs w:val="18"/>
              </w:rPr>
            </w:pPr>
            <w:r w:rsidRPr="00501852">
              <w:rPr>
                <w:rFonts w:ascii="Times New Roman" w:hAnsi="Times New Roman" w:cs="Times New Roman"/>
                <w:sz w:val="18"/>
                <w:szCs w:val="18"/>
              </w:rPr>
              <w:t>e)</w:t>
            </w:r>
            <w:r w:rsidRPr="00501852">
              <w:rPr>
                <w:rFonts w:ascii="Times New Roman" w:hAnsi="Times New Roman" w:cs="Times New Roman"/>
                <w:sz w:val="18"/>
                <w:szCs w:val="18"/>
              </w:rPr>
              <w:tab/>
              <w:t>lýsing á hvers kyns röskun á markaði eða atburðum sem valda röskun á greiðslu-uppgjöri sem hafa áhrif á undirliggjandi þætti,</w:t>
            </w:r>
          </w:p>
          <w:p w:rsidR="0028302D" w:rsidRPr="00501852" w:rsidRDefault="0028302D" w:rsidP="0028302D">
            <w:pPr>
              <w:pStyle w:val="Tflutexti"/>
              <w:spacing w:before="0" w:after="0"/>
              <w:ind w:left="357" w:hanging="357"/>
              <w:rPr>
                <w:rFonts w:ascii="Times New Roman" w:hAnsi="Times New Roman" w:cs="Times New Roman"/>
                <w:sz w:val="18"/>
                <w:szCs w:val="18"/>
              </w:rPr>
            </w:pPr>
            <w:r w:rsidRPr="00501852">
              <w:rPr>
                <w:rFonts w:ascii="Times New Roman" w:hAnsi="Times New Roman" w:cs="Times New Roman"/>
                <w:sz w:val="18"/>
                <w:szCs w:val="18"/>
              </w:rPr>
              <w:t>f)</w:t>
            </w:r>
            <w:r w:rsidRPr="00501852">
              <w:rPr>
                <w:rFonts w:ascii="Times New Roman" w:hAnsi="Times New Roman" w:cs="Times New Roman"/>
                <w:sz w:val="18"/>
                <w:szCs w:val="18"/>
              </w:rPr>
              <w:tab/>
              <w:t>leiðréttingarreglur sem tengjast atburðum sem hafa áhrif á undirliggjandi þætti,</w:t>
            </w:r>
          </w:p>
          <w:p w:rsidR="0028302D" w:rsidRPr="00501852" w:rsidRDefault="0028302D" w:rsidP="0028302D">
            <w:pPr>
              <w:pStyle w:val="Tflutexti"/>
              <w:spacing w:before="0" w:after="0"/>
              <w:ind w:left="357" w:hanging="357"/>
              <w:rPr>
                <w:rFonts w:ascii="Times New Roman" w:hAnsi="Times New Roman" w:cs="Times New Roman"/>
                <w:sz w:val="18"/>
                <w:szCs w:val="18"/>
              </w:rPr>
            </w:pPr>
            <w:r w:rsidRPr="00501852">
              <w:rPr>
                <w:rFonts w:ascii="Times New Roman" w:hAnsi="Times New Roman" w:cs="Times New Roman"/>
                <w:sz w:val="18"/>
                <w:szCs w:val="18"/>
              </w:rPr>
              <w:t>g)</w:t>
            </w:r>
            <w:r w:rsidRPr="00501852">
              <w:rPr>
                <w:rFonts w:ascii="Times New Roman" w:hAnsi="Times New Roman" w:cs="Times New Roman"/>
                <w:sz w:val="18"/>
                <w:szCs w:val="18"/>
              </w:rPr>
              <w:tab/>
              <w:t>nafn þess aðila sem sér um útreikning,</w:t>
            </w:r>
          </w:p>
          <w:p w:rsidR="0028302D" w:rsidRPr="00501852" w:rsidRDefault="0028302D" w:rsidP="0028302D">
            <w:pPr>
              <w:pStyle w:val="Tflutexti"/>
              <w:spacing w:before="0"/>
              <w:ind w:left="357" w:hanging="357"/>
              <w:rPr>
                <w:rFonts w:ascii="Times New Roman" w:hAnsi="Times New Roman" w:cs="Times New Roman"/>
                <w:sz w:val="18"/>
                <w:szCs w:val="18"/>
              </w:rPr>
            </w:pPr>
            <w:r w:rsidRPr="00501852">
              <w:rPr>
                <w:rFonts w:ascii="Times New Roman" w:hAnsi="Times New Roman" w:cs="Times New Roman"/>
                <w:sz w:val="18"/>
                <w:szCs w:val="18"/>
              </w:rPr>
              <w:t>h)</w:t>
            </w:r>
            <w:r w:rsidRPr="00501852">
              <w:rPr>
                <w:rFonts w:ascii="Times New Roman" w:hAnsi="Times New Roman" w:cs="Times New Roman"/>
                <w:sz w:val="18"/>
                <w:szCs w:val="18"/>
              </w:rPr>
              <w:tab/>
              <w:t>sé afleiða þáttur í vaxtagreiðslum af verðbréfinu skal gefa skýra og ítarlega skýringu til að hjálpa fjárfestum að skilja hvernig virði undirliggjandi gernings eða gerninga hefur áhrif á virði fjárfestingar þeirra, einkum við aðstæður þar sem áhætta er augljós.</w:t>
            </w:r>
          </w:p>
        </w:tc>
        <w:tc>
          <w:tcPr>
            <w:tcW w:w="986" w:type="dxa"/>
          </w:tcPr>
          <w:p w:rsidR="0028302D" w:rsidRPr="00501852" w:rsidRDefault="0028302D" w:rsidP="0028302D">
            <w:pPr>
              <w:pStyle w:val="Tflutexti"/>
              <w:spacing w:after="0"/>
              <w:rPr>
                <w:rFonts w:ascii="Times New Roman" w:hAnsi="Times New Roman" w:cs="Times New Roman"/>
                <w:sz w:val="18"/>
                <w:szCs w:val="18"/>
              </w:rPr>
            </w:pPr>
            <w:r w:rsidRPr="00501852">
              <w:rPr>
                <w:rFonts w:ascii="Times New Roman" w:hAnsi="Times New Roman" w:cs="Times New Roman"/>
                <w:sz w:val="18"/>
                <w:szCs w:val="18"/>
              </w:rPr>
              <w:t>Flokkur C</w:t>
            </w:r>
          </w:p>
          <w:p w:rsidR="0028302D" w:rsidRPr="00501852" w:rsidRDefault="0028302D" w:rsidP="0028302D">
            <w:pPr>
              <w:pStyle w:val="Tflutexti"/>
              <w:spacing w:before="0" w:after="0"/>
              <w:rPr>
                <w:rFonts w:ascii="Times New Roman" w:hAnsi="Times New Roman" w:cs="Times New Roman"/>
                <w:sz w:val="18"/>
                <w:szCs w:val="18"/>
              </w:rPr>
            </w:pPr>
            <w:r w:rsidRPr="00501852">
              <w:rPr>
                <w:rFonts w:ascii="Times New Roman" w:hAnsi="Times New Roman" w:cs="Times New Roman"/>
                <w:sz w:val="18"/>
                <w:szCs w:val="18"/>
              </w:rPr>
              <w:t>Flokkur B</w:t>
            </w:r>
          </w:p>
          <w:p w:rsidR="0028302D" w:rsidRPr="00501852" w:rsidRDefault="0028302D" w:rsidP="0028302D">
            <w:pPr>
              <w:pStyle w:val="Tflutexti"/>
              <w:spacing w:before="0" w:after="0"/>
              <w:rPr>
                <w:rFonts w:ascii="Times New Roman" w:hAnsi="Times New Roman" w:cs="Times New Roman"/>
                <w:sz w:val="18"/>
                <w:szCs w:val="18"/>
              </w:rPr>
            </w:pPr>
            <w:r w:rsidRPr="00501852">
              <w:rPr>
                <w:rFonts w:ascii="Times New Roman" w:hAnsi="Times New Roman" w:cs="Times New Roman"/>
                <w:sz w:val="18"/>
                <w:szCs w:val="18"/>
              </w:rPr>
              <w:t>Flokkur C</w:t>
            </w:r>
          </w:p>
          <w:p w:rsidR="0028302D" w:rsidRPr="00501852" w:rsidRDefault="0028302D" w:rsidP="0028302D">
            <w:pPr>
              <w:pStyle w:val="Tflutexti"/>
              <w:spacing w:before="0" w:after="0"/>
              <w:rPr>
                <w:rFonts w:ascii="Times New Roman" w:hAnsi="Times New Roman" w:cs="Times New Roman"/>
                <w:sz w:val="18"/>
                <w:szCs w:val="18"/>
              </w:rPr>
            </w:pPr>
            <w:r w:rsidRPr="00501852">
              <w:rPr>
                <w:rFonts w:ascii="Times New Roman" w:hAnsi="Times New Roman" w:cs="Times New Roman"/>
                <w:sz w:val="18"/>
                <w:szCs w:val="18"/>
              </w:rPr>
              <w:t>Flokkur C</w:t>
            </w:r>
          </w:p>
          <w:p w:rsidR="0028302D" w:rsidRPr="00501852" w:rsidRDefault="0028302D" w:rsidP="0028302D">
            <w:pPr>
              <w:pStyle w:val="Tflutexti"/>
              <w:spacing w:before="0"/>
              <w:rPr>
                <w:rFonts w:ascii="Times New Roman" w:hAnsi="Times New Roman" w:cs="Times New Roman"/>
                <w:sz w:val="18"/>
                <w:szCs w:val="18"/>
              </w:rPr>
            </w:pPr>
            <w:r w:rsidRPr="00501852">
              <w:rPr>
                <w:rFonts w:ascii="Times New Roman" w:hAnsi="Times New Roman" w:cs="Times New Roman"/>
                <w:sz w:val="18"/>
                <w:szCs w:val="18"/>
              </w:rPr>
              <w:t>Flokkur B</w:t>
            </w:r>
          </w:p>
          <w:p w:rsidR="0028302D" w:rsidRPr="00501852" w:rsidRDefault="0028302D" w:rsidP="0028302D">
            <w:pPr>
              <w:pStyle w:val="Tflutexti"/>
              <w:spacing w:before="0" w:after="0"/>
              <w:rPr>
                <w:rFonts w:ascii="Times New Roman" w:hAnsi="Times New Roman" w:cs="Times New Roman"/>
                <w:sz w:val="18"/>
                <w:szCs w:val="18"/>
              </w:rPr>
            </w:pPr>
            <w:r w:rsidRPr="00501852">
              <w:rPr>
                <w:rFonts w:ascii="Times New Roman" w:hAnsi="Times New Roman" w:cs="Times New Roman"/>
                <w:sz w:val="18"/>
                <w:szCs w:val="18"/>
              </w:rPr>
              <w:br/>
              <w:t>Flokkur A</w:t>
            </w:r>
          </w:p>
          <w:p w:rsidR="0028302D" w:rsidRPr="00501852" w:rsidRDefault="0028302D" w:rsidP="0028302D">
            <w:pPr>
              <w:pStyle w:val="Tflutexti"/>
              <w:spacing w:before="0" w:after="0"/>
              <w:rPr>
                <w:rFonts w:ascii="Times New Roman" w:hAnsi="Times New Roman" w:cs="Times New Roman"/>
                <w:sz w:val="18"/>
                <w:szCs w:val="18"/>
              </w:rPr>
            </w:pPr>
            <w:r w:rsidRPr="00501852">
              <w:rPr>
                <w:rFonts w:ascii="Times New Roman" w:hAnsi="Times New Roman" w:cs="Times New Roman"/>
                <w:sz w:val="18"/>
                <w:szCs w:val="18"/>
              </w:rPr>
              <w:t>Flokkur C</w:t>
            </w:r>
          </w:p>
          <w:p w:rsidR="0028302D" w:rsidRPr="00501852" w:rsidRDefault="0028302D" w:rsidP="0028302D">
            <w:pPr>
              <w:pStyle w:val="Tflutexti"/>
              <w:spacing w:before="0" w:after="0"/>
              <w:rPr>
                <w:rFonts w:ascii="Times New Roman" w:hAnsi="Times New Roman" w:cs="Times New Roman"/>
                <w:sz w:val="18"/>
                <w:szCs w:val="18"/>
              </w:rPr>
            </w:pPr>
            <w:r w:rsidRPr="00501852">
              <w:rPr>
                <w:rFonts w:ascii="Times New Roman" w:hAnsi="Times New Roman" w:cs="Times New Roman"/>
                <w:sz w:val="18"/>
                <w:szCs w:val="18"/>
              </w:rPr>
              <w:t>Flokkur B</w:t>
            </w:r>
          </w:p>
          <w:p w:rsidR="0028302D" w:rsidRPr="00501852" w:rsidRDefault="0028302D" w:rsidP="0028302D">
            <w:pPr>
              <w:pStyle w:val="Tflutexti"/>
              <w:spacing w:before="0" w:after="0"/>
              <w:rPr>
                <w:rFonts w:ascii="Times New Roman" w:hAnsi="Times New Roman" w:cs="Times New Roman"/>
                <w:sz w:val="18"/>
                <w:szCs w:val="18"/>
              </w:rPr>
            </w:pPr>
            <w:r w:rsidRPr="00501852">
              <w:rPr>
                <w:rFonts w:ascii="Times New Roman" w:hAnsi="Times New Roman" w:cs="Times New Roman"/>
                <w:sz w:val="18"/>
                <w:szCs w:val="18"/>
              </w:rPr>
              <w:t>Flokkur C</w:t>
            </w:r>
          </w:p>
          <w:p w:rsidR="0028302D" w:rsidRPr="00501852" w:rsidRDefault="0028302D" w:rsidP="0028302D">
            <w:pPr>
              <w:pStyle w:val="Tflutexti"/>
              <w:spacing w:before="0" w:after="0"/>
              <w:rPr>
                <w:rFonts w:ascii="Times New Roman" w:hAnsi="Times New Roman" w:cs="Times New Roman"/>
                <w:sz w:val="18"/>
                <w:szCs w:val="18"/>
              </w:rPr>
            </w:pPr>
            <w:r w:rsidRPr="00501852">
              <w:rPr>
                <w:rFonts w:ascii="Times New Roman" w:hAnsi="Times New Roman" w:cs="Times New Roman"/>
                <w:sz w:val="18"/>
                <w:szCs w:val="18"/>
              </w:rPr>
              <w:br/>
              <w:t>Flokkur B</w:t>
            </w:r>
          </w:p>
          <w:p w:rsidR="0028302D" w:rsidRPr="00501852" w:rsidRDefault="0028302D" w:rsidP="0028302D">
            <w:pPr>
              <w:pStyle w:val="Tflutexti"/>
              <w:spacing w:before="0" w:after="0"/>
              <w:rPr>
                <w:rFonts w:ascii="Times New Roman" w:hAnsi="Times New Roman" w:cs="Times New Roman"/>
                <w:sz w:val="18"/>
                <w:szCs w:val="18"/>
              </w:rPr>
            </w:pPr>
            <w:r w:rsidRPr="00501852">
              <w:rPr>
                <w:rFonts w:ascii="Times New Roman" w:hAnsi="Times New Roman" w:cs="Times New Roman"/>
                <w:sz w:val="18"/>
                <w:szCs w:val="18"/>
              </w:rPr>
              <w:br/>
              <w:t>Flokkur B</w:t>
            </w:r>
          </w:p>
          <w:p w:rsidR="0028302D" w:rsidRPr="00501852" w:rsidRDefault="0028302D" w:rsidP="0028302D">
            <w:pPr>
              <w:pStyle w:val="Tflutexti"/>
              <w:spacing w:before="0" w:after="0"/>
              <w:rPr>
                <w:rFonts w:ascii="Times New Roman" w:hAnsi="Times New Roman" w:cs="Times New Roman"/>
                <w:sz w:val="18"/>
                <w:szCs w:val="18"/>
              </w:rPr>
            </w:pPr>
            <w:r w:rsidRPr="00501852">
              <w:rPr>
                <w:rFonts w:ascii="Times New Roman" w:hAnsi="Times New Roman" w:cs="Times New Roman"/>
                <w:sz w:val="18"/>
                <w:szCs w:val="18"/>
              </w:rPr>
              <w:t>Flokkur C</w:t>
            </w:r>
          </w:p>
          <w:p w:rsidR="0028302D" w:rsidRPr="00501852" w:rsidRDefault="0028302D" w:rsidP="0028302D">
            <w:pPr>
              <w:pStyle w:val="Tflutexti"/>
              <w:spacing w:before="0"/>
              <w:rPr>
                <w:rFonts w:ascii="Times New Roman" w:hAnsi="Times New Roman" w:cs="Times New Roman"/>
                <w:sz w:val="18"/>
                <w:szCs w:val="18"/>
              </w:rPr>
            </w:pPr>
            <w:r w:rsidRPr="00501852">
              <w:rPr>
                <w:rFonts w:ascii="Times New Roman" w:hAnsi="Times New Roman" w:cs="Times New Roman"/>
                <w:sz w:val="18"/>
                <w:szCs w:val="18"/>
              </w:rPr>
              <w:t>Flokkur B</w:t>
            </w:r>
          </w:p>
        </w:tc>
      </w:tr>
      <w:tr w:rsidR="00070AC5" w:rsidRPr="00501852" w:rsidTr="00501852">
        <w:trPr>
          <w:trHeight w:val="567"/>
        </w:trPr>
        <w:tc>
          <w:tcPr>
            <w:tcW w:w="838" w:type="dxa"/>
          </w:tcPr>
          <w:p w:rsidR="00070AC5" w:rsidRPr="00501852" w:rsidRDefault="00070AC5" w:rsidP="00070AC5">
            <w:pPr>
              <w:pStyle w:val="Tflutexti"/>
              <w:spacing w:line="240" w:lineRule="auto"/>
              <w:rPr>
                <w:rFonts w:ascii="Times New Roman" w:hAnsi="Times New Roman" w:cs="Times New Roman"/>
                <w:sz w:val="18"/>
                <w:szCs w:val="18"/>
              </w:rPr>
            </w:pPr>
          </w:p>
        </w:tc>
        <w:tc>
          <w:tcPr>
            <w:tcW w:w="1156" w:type="dxa"/>
            <w:gridSpan w:val="2"/>
          </w:tcPr>
          <w:p w:rsidR="00070AC5" w:rsidRPr="00501852" w:rsidRDefault="00070AC5" w:rsidP="00070AC5">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Liður 3.1.8.</w:t>
            </w:r>
          </w:p>
        </w:tc>
        <w:tc>
          <w:tcPr>
            <w:tcW w:w="6380" w:type="dxa"/>
          </w:tcPr>
          <w:p w:rsidR="00070AC5" w:rsidRPr="00501852" w:rsidRDefault="00070AC5" w:rsidP="00070AC5">
            <w:pPr>
              <w:pStyle w:val="Tflutexti"/>
              <w:spacing w:after="0"/>
              <w:ind w:left="357" w:hanging="357"/>
              <w:rPr>
                <w:rFonts w:ascii="Times New Roman" w:hAnsi="Times New Roman" w:cs="Times New Roman"/>
                <w:sz w:val="18"/>
                <w:szCs w:val="18"/>
              </w:rPr>
            </w:pPr>
            <w:r w:rsidRPr="00501852">
              <w:rPr>
                <w:rFonts w:ascii="Times New Roman" w:hAnsi="Times New Roman" w:cs="Times New Roman"/>
                <w:sz w:val="18"/>
                <w:szCs w:val="18"/>
              </w:rPr>
              <w:t>a)</w:t>
            </w:r>
            <w:r w:rsidRPr="00501852">
              <w:rPr>
                <w:rFonts w:ascii="Times New Roman" w:hAnsi="Times New Roman" w:cs="Times New Roman"/>
                <w:sz w:val="18"/>
                <w:szCs w:val="18"/>
              </w:rPr>
              <w:tab/>
              <w:t>Lokadagur.</w:t>
            </w:r>
          </w:p>
          <w:p w:rsidR="00070AC5" w:rsidRPr="00501852" w:rsidRDefault="00070AC5" w:rsidP="00070AC5">
            <w:pPr>
              <w:pStyle w:val="Tflutexti"/>
              <w:spacing w:before="0"/>
              <w:ind w:left="357" w:hanging="357"/>
              <w:rPr>
                <w:rFonts w:ascii="Times New Roman" w:hAnsi="Times New Roman" w:cs="Times New Roman"/>
                <w:sz w:val="18"/>
                <w:szCs w:val="18"/>
              </w:rPr>
            </w:pPr>
            <w:r w:rsidRPr="00501852">
              <w:rPr>
                <w:rFonts w:ascii="Times New Roman" w:hAnsi="Times New Roman" w:cs="Times New Roman"/>
                <w:sz w:val="18"/>
                <w:szCs w:val="18"/>
              </w:rPr>
              <w:t>b)</w:t>
            </w:r>
            <w:r w:rsidRPr="00501852">
              <w:rPr>
                <w:rFonts w:ascii="Times New Roman" w:hAnsi="Times New Roman" w:cs="Times New Roman"/>
                <w:sz w:val="18"/>
                <w:szCs w:val="18"/>
              </w:rPr>
              <w:tab/>
              <w:t>Upplýsingar um fyrirkomulag á niðurgreiðslu lánsins, þ.m.t. hvernig endurgreiðslur fara fram. Sé fyrirhugað að flýta niðurgreiðslu lánsins, að frumkvæði útgefanda eða eiganda verðbréfsins, skal gera grein fyrir skilmálum niðurgreiðslunnar</w:t>
            </w:r>
          </w:p>
        </w:tc>
        <w:tc>
          <w:tcPr>
            <w:tcW w:w="986" w:type="dxa"/>
          </w:tcPr>
          <w:p w:rsidR="00070AC5" w:rsidRPr="00501852" w:rsidRDefault="00070AC5" w:rsidP="00070AC5">
            <w:pPr>
              <w:pStyle w:val="Tflutexti"/>
              <w:spacing w:after="0"/>
              <w:rPr>
                <w:rFonts w:ascii="Times New Roman" w:hAnsi="Times New Roman" w:cs="Times New Roman"/>
                <w:sz w:val="18"/>
                <w:szCs w:val="18"/>
              </w:rPr>
            </w:pPr>
            <w:r w:rsidRPr="00501852">
              <w:rPr>
                <w:rFonts w:ascii="Times New Roman" w:hAnsi="Times New Roman" w:cs="Times New Roman"/>
                <w:sz w:val="18"/>
                <w:szCs w:val="18"/>
              </w:rPr>
              <w:t>Flokkur C</w:t>
            </w:r>
          </w:p>
          <w:p w:rsidR="00070AC5" w:rsidRPr="00501852" w:rsidRDefault="00070AC5" w:rsidP="00070AC5">
            <w:pPr>
              <w:pStyle w:val="Tflutexti"/>
              <w:spacing w:before="0" w:after="0"/>
              <w:rPr>
                <w:rFonts w:ascii="Times New Roman" w:hAnsi="Times New Roman" w:cs="Times New Roman"/>
                <w:sz w:val="18"/>
                <w:szCs w:val="18"/>
              </w:rPr>
            </w:pPr>
            <w:r w:rsidRPr="00501852">
              <w:rPr>
                <w:rFonts w:ascii="Times New Roman" w:hAnsi="Times New Roman" w:cs="Times New Roman"/>
                <w:sz w:val="18"/>
                <w:szCs w:val="18"/>
              </w:rPr>
              <w:t>Flokkur B</w:t>
            </w:r>
          </w:p>
        </w:tc>
      </w:tr>
      <w:tr w:rsidR="00070AC5" w:rsidRPr="00501852" w:rsidTr="00501852">
        <w:trPr>
          <w:trHeight w:val="567"/>
        </w:trPr>
        <w:tc>
          <w:tcPr>
            <w:tcW w:w="838" w:type="dxa"/>
          </w:tcPr>
          <w:p w:rsidR="00070AC5" w:rsidRPr="00501852" w:rsidRDefault="00070AC5" w:rsidP="00070AC5">
            <w:pPr>
              <w:pStyle w:val="Tflutexti"/>
              <w:spacing w:line="240" w:lineRule="auto"/>
              <w:rPr>
                <w:rFonts w:ascii="Times New Roman" w:hAnsi="Times New Roman" w:cs="Times New Roman"/>
                <w:sz w:val="18"/>
                <w:szCs w:val="18"/>
              </w:rPr>
            </w:pPr>
          </w:p>
        </w:tc>
        <w:tc>
          <w:tcPr>
            <w:tcW w:w="1156" w:type="dxa"/>
            <w:gridSpan w:val="2"/>
          </w:tcPr>
          <w:p w:rsidR="00070AC5" w:rsidRPr="00501852" w:rsidRDefault="00070AC5" w:rsidP="00070AC5">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Liður 3.1.9.</w:t>
            </w:r>
          </w:p>
        </w:tc>
        <w:tc>
          <w:tcPr>
            <w:tcW w:w="6380" w:type="dxa"/>
          </w:tcPr>
          <w:p w:rsidR="00070AC5" w:rsidRPr="00501852" w:rsidRDefault="00070AC5" w:rsidP="00070AC5">
            <w:pPr>
              <w:pStyle w:val="Tflutexti"/>
              <w:spacing w:after="0"/>
              <w:ind w:left="357" w:hanging="357"/>
              <w:rPr>
                <w:rFonts w:ascii="Times New Roman" w:hAnsi="Times New Roman" w:cs="Times New Roman"/>
                <w:sz w:val="18"/>
                <w:szCs w:val="18"/>
              </w:rPr>
            </w:pPr>
            <w:r w:rsidRPr="00501852">
              <w:rPr>
                <w:rFonts w:ascii="Times New Roman" w:hAnsi="Times New Roman" w:cs="Times New Roman"/>
                <w:sz w:val="18"/>
                <w:szCs w:val="18"/>
              </w:rPr>
              <w:t>a)</w:t>
            </w:r>
            <w:r w:rsidRPr="00501852">
              <w:rPr>
                <w:rFonts w:ascii="Times New Roman" w:hAnsi="Times New Roman" w:cs="Times New Roman"/>
                <w:sz w:val="18"/>
                <w:szCs w:val="18"/>
              </w:rPr>
              <w:tab/>
              <w:t>Upplýsingar um ávöxtun.</w:t>
            </w:r>
          </w:p>
          <w:p w:rsidR="00070AC5" w:rsidRPr="00501852" w:rsidRDefault="00070AC5" w:rsidP="00070AC5">
            <w:pPr>
              <w:pStyle w:val="Tflutexti"/>
              <w:spacing w:before="0"/>
              <w:ind w:left="357" w:hanging="357"/>
              <w:rPr>
                <w:rFonts w:ascii="Times New Roman" w:hAnsi="Times New Roman" w:cs="Times New Roman"/>
                <w:sz w:val="18"/>
                <w:szCs w:val="18"/>
              </w:rPr>
            </w:pPr>
            <w:r w:rsidRPr="00501852">
              <w:rPr>
                <w:rFonts w:ascii="Times New Roman" w:hAnsi="Times New Roman" w:cs="Times New Roman"/>
                <w:sz w:val="18"/>
                <w:szCs w:val="18"/>
              </w:rPr>
              <w:t>b)</w:t>
            </w:r>
            <w:r w:rsidRPr="00501852">
              <w:rPr>
                <w:rFonts w:ascii="Times New Roman" w:hAnsi="Times New Roman" w:cs="Times New Roman"/>
                <w:sz w:val="18"/>
                <w:szCs w:val="18"/>
              </w:rPr>
              <w:tab/>
              <w:t>Lýsa skal í stuttu máli þeirri aðferð sem notuð til að reikna út ávöxtun.</w:t>
            </w:r>
          </w:p>
        </w:tc>
        <w:tc>
          <w:tcPr>
            <w:tcW w:w="986" w:type="dxa"/>
          </w:tcPr>
          <w:p w:rsidR="00070AC5" w:rsidRPr="00501852" w:rsidRDefault="00070AC5" w:rsidP="00070AC5">
            <w:pPr>
              <w:pStyle w:val="Tflutexti"/>
              <w:spacing w:after="0" w:line="240" w:lineRule="auto"/>
              <w:rPr>
                <w:rFonts w:ascii="Times New Roman" w:hAnsi="Times New Roman" w:cs="Times New Roman"/>
                <w:sz w:val="18"/>
                <w:szCs w:val="18"/>
              </w:rPr>
            </w:pPr>
            <w:r w:rsidRPr="00501852">
              <w:rPr>
                <w:rFonts w:ascii="Times New Roman" w:hAnsi="Times New Roman" w:cs="Times New Roman"/>
                <w:sz w:val="18"/>
                <w:szCs w:val="18"/>
              </w:rPr>
              <w:t>Flokkur C</w:t>
            </w:r>
          </w:p>
          <w:p w:rsidR="00070AC5" w:rsidRPr="00501852" w:rsidRDefault="00070AC5" w:rsidP="00070AC5">
            <w:pPr>
              <w:pStyle w:val="Tflutexti"/>
              <w:spacing w:before="0" w:line="240" w:lineRule="auto"/>
              <w:rPr>
                <w:rFonts w:ascii="Times New Roman" w:hAnsi="Times New Roman" w:cs="Times New Roman"/>
                <w:sz w:val="18"/>
                <w:szCs w:val="18"/>
              </w:rPr>
            </w:pPr>
            <w:r w:rsidRPr="00501852">
              <w:rPr>
                <w:rFonts w:ascii="Times New Roman" w:hAnsi="Times New Roman" w:cs="Times New Roman"/>
                <w:sz w:val="18"/>
                <w:szCs w:val="18"/>
              </w:rPr>
              <w:t>Flokkur B</w:t>
            </w:r>
          </w:p>
        </w:tc>
      </w:tr>
      <w:tr w:rsidR="00070AC5" w:rsidRPr="00501852" w:rsidTr="00501852">
        <w:trPr>
          <w:trHeight w:val="567"/>
        </w:trPr>
        <w:tc>
          <w:tcPr>
            <w:tcW w:w="838" w:type="dxa"/>
          </w:tcPr>
          <w:p w:rsidR="00070AC5" w:rsidRPr="00501852" w:rsidRDefault="00070AC5" w:rsidP="00070AC5">
            <w:pPr>
              <w:pStyle w:val="Tflutexti"/>
              <w:spacing w:line="240" w:lineRule="auto"/>
              <w:rPr>
                <w:rFonts w:ascii="Times New Roman" w:hAnsi="Times New Roman" w:cs="Times New Roman"/>
                <w:sz w:val="18"/>
                <w:szCs w:val="18"/>
              </w:rPr>
            </w:pPr>
          </w:p>
        </w:tc>
        <w:tc>
          <w:tcPr>
            <w:tcW w:w="1156" w:type="dxa"/>
            <w:gridSpan w:val="2"/>
          </w:tcPr>
          <w:p w:rsidR="00070AC5" w:rsidRPr="00501852" w:rsidRDefault="00070AC5" w:rsidP="00070AC5">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Liður 3.1.10.</w:t>
            </w:r>
          </w:p>
        </w:tc>
        <w:tc>
          <w:tcPr>
            <w:tcW w:w="6380" w:type="dxa"/>
          </w:tcPr>
          <w:p w:rsidR="00070AC5" w:rsidRPr="00501852" w:rsidRDefault="00070AC5" w:rsidP="00070AC5">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Fyrirsvar fyrir eigendur verðbréfa sem ekki eru hlutabréfatengd, þ.m.t. upplýsingar um aðilann sem er í fyrirsvari fyrir fjárfestana og ákvæði sem gilda um slíkt fyrirsvar. Upplýsingar um vefsetur þar sem almenningur getur haft frjálsan aðgang að samningum í tengslum við þessar aðferðir við fyrirsvar.</w:t>
            </w:r>
          </w:p>
        </w:tc>
        <w:tc>
          <w:tcPr>
            <w:tcW w:w="986" w:type="dxa"/>
          </w:tcPr>
          <w:p w:rsidR="00070AC5" w:rsidRPr="00501852" w:rsidRDefault="00070AC5" w:rsidP="00070AC5">
            <w:pPr>
              <w:pStyle w:val="Tflutexti"/>
              <w:spacing w:after="0" w:line="240" w:lineRule="auto"/>
              <w:rPr>
                <w:rFonts w:ascii="Times New Roman" w:hAnsi="Times New Roman" w:cs="Times New Roman"/>
                <w:sz w:val="18"/>
                <w:szCs w:val="18"/>
              </w:rPr>
            </w:pPr>
            <w:r w:rsidRPr="00501852">
              <w:rPr>
                <w:rFonts w:ascii="Times New Roman" w:hAnsi="Times New Roman" w:cs="Times New Roman"/>
                <w:sz w:val="18"/>
                <w:szCs w:val="18"/>
              </w:rPr>
              <w:t>Flokkur B</w:t>
            </w:r>
          </w:p>
        </w:tc>
      </w:tr>
      <w:tr w:rsidR="00070AC5" w:rsidRPr="00501852" w:rsidTr="00501852">
        <w:trPr>
          <w:trHeight w:val="567"/>
        </w:trPr>
        <w:tc>
          <w:tcPr>
            <w:tcW w:w="838" w:type="dxa"/>
          </w:tcPr>
          <w:p w:rsidR="00070AC5" w:rsidRPr="00501852" w:rsidRDefault="00070AC5" w:rsidP="00070AC5">
            <w:pPr>
              <w:pStyle w:val="Tflutexti"/>
              <w:spacing w:line="240" w:lineRule="auto"/>
              <w:rPr>
                <w:rFonts w:ascii="Times New Roman" w:hAnsi="Times New Roman" w:cs="Times New Roman"/>
                <w:sz w:val="18"/>
                <w:szCs w:val="18"/>
              </w:rPr>
            </w:pPr>
          </w:p>
        </w:tc>
        <w:tc>
          <w:tcPr>
            <w:tcW w:w="1156" w:type="dxa"/>
            <w:gridSpan w:val="2"/>
          </w:tcPr>
          <w:p w:rsidR="00070AC5" w:rsidRPr="00501852" w:rsidRDefault="00070AC5" w:rsidP="00070AC5">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Liður 3.1.11.</w:t>
            </w:r>
          </w:p>
        </w:tc>
        <w:tc>
          <w:tcPr>
            <w:tcW w:w="6380" w:type="dxa"/>
          </w:tcPr>
          <w:p w:rsidR="00070AC5" w:rsidRPr="00501852" w:rsidRDefault="00070AC5" w:rsidP="00070AC5">
            <w:pPr>
              <w:pStyle w:val="Tflutexti"/>
              <w:rPr>
                <w:rFonts w:ascii="Times New Roman" w:hAnsi="Times New Roman" w:cs="Times New Roman"/>
                <w:sz w:val="18"/>
                <w:szCs w:val="18"/>
              </w:rPr>
            </w:pPr>
            <w:r w:rsidRPr="00501852">
              <w:rPr>
                <w:rFonts w:ascii="Times New Roman" w:hAnsi="Times New Roman" w:cs="Times New Roman"/>
                <w:sz w:val="18"/>
                <w:szCs w:val="18"/>
              </w:rPr>
              <w:t>Sé um að ræða nýja útgáfu skal fylgja yfirlit um ályktanir, heimildir og samþykki sem liggja því til grundvallar að verðbréf hafa verið eða verða stofnuð og/eða gefin út.</w:t>
            </w:r>
          </w:p>
        </w:tc>
        <w:tc>
          <w:tcPr>
            <w:tcW w:w="986" w:type="dxa"/>
          </w:tcPr>
          <w:p w:rsidR="00070AC5" w:rsidRPr="00501852" w:rsidRDefault="00070AC5" w:rsidP="00070AC5">
            <w:pPr>
              <w:pStyle w:val="Tflutexti"/>
              <w:spacing w:after="0" w:line="240" w:lineRule="auto"/>
              <w:rPr>
                <w:rFonts w:ascii="Times New Roman" w:hAnsi="Times New Roman" w:cs="Times New Roman"/>
                <w:sz w:val="18"/>
                <w:szCs w:val="18"/>
              </w:rPr>
            </w:pPr>
            <w:r w:rsidRPr="00501852">
              <w:rPr>
                <w:rFonts w:ascii="Times New Roman" w:hAnsi="Times New Roman" w:cs="Times New Roman"/>
                <w:sz w:val="18"/>
                <w:szCs w:val="18"/>
              </w:rPr>
              <w:t>Flokkur C</w:t>
            </w:r>
          </w:p>
          <w:p w:rsidR="00070AC5" w:rsidRPr="00501852" w:rsidRDefault="00070AC5" w:rsidP="00070AC5">
            <w:pPr>
              <w:pStyle w:val="Tflutexti"/>
              <w:spacing w:after="0" w:line="240" w:lineRule="auto"/>
              <w:rPr>
                <w:rFonts w:ascii="Times New Roman" w:hAnsi="Times New Roman" w:cs="Times New Roman"/>
                <w:sz w:val="18"/>
                <w:szCs w:val="18"/>
              </w:rPr>
            </w:pPr>
          </w:p>
        </w:tc>
      </w:tr>
      <w:tr w:rsidR="00070AC5" w:rsidRPr="00501852" w:rsidTr="00501852">
        <w:trPr>
          <w:trHeight w:val="567"/>
        </w:trPr>
        <w:tc>
          <w:tcPr>
            <w:tcW w:w="838" w:type="dxa"/>
          </w:tcPr>
          <w:p w:rsidR="00070AC5" w:rsidRPr="00501852" w:rsidRDefault="00070AC5" w:rsidP="00070AC5">
            <w:pPr>
              <w:pStyle w:val="Tflutexti"/>
              <w:spacing w:line="240" w:lineRule="auto"/>
              <w:rPr>
                <w:rFonts w:ascii="Times New Roman" w:hAnsi="Times New Roman" w:cs="Times New Roman"/>
                <w:sz w:val="18"/>
                <w:szCs w:val="18"/>
              </w:rPr>
            </w:pPr>
          </w:p>
        </w:tc>
        <w:tc>
          <w:tcPr>
            <w:tcW w:w="1156" w:type="dxa"/>
            <w:gridSpan w:val="2"/>
          </w:tcPr>
          <w:p w:rsidR="00070AC5" w:rsidRPr="00501852" w:rsidRDefault="00070AC5" w:rsidP="00070AC5">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Liður 3.1.12.</w:t>
            </w:r>
          </w:p>
        </w:tc>
        <w:tc>
          <w:tcPr>
            <w:tcW w:w="6380" w:type="dxa"/>
          </w:tcPr>
          <w:p w:rsidR="00070AC5" w:rsidRPr="00501852" w:rsidRDefault="00070AC5" w:rsidP="00070AC5">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Útgáfudagur eða, sé um að ræða nýjar útgáfur, væntanlegur útgáfudagur verðbréfanna.</w:t>
            </w:r>
          </w:p>
        </w:tc>
        <w:tc>
          <w:tcPr>
            <w:tcW w:w="986" w:type="dxa"/>
          </w:tcPr>
          <w:p w:rsidR="00070AC5" w:rsidRPr="00501852" w:rsidRDefault="00070AC5" w:rsidP="00070AC5">
            <w:pPr>
              <w:pStyle w:val="Tflutexti"/>
              <w:spacing w:after="0" w:line="240" w:lineRule="auto"/>
              <w:rPr>
                <w:rFonts w:ascii="Times New Roman" w:hAnsi="Times New Roman" w:cs="Times New Roman"/>
                <w:sz w:val="18"/>
                <w:szCs w:val="18"/>
              </w:rPr>
            </w:pPr>
            <w:r w:rsidRPr="00501852">
              <w:rPr>
                <w:rFonts w:ascii="Times New Roman" w:hAnsi="Times New Roman" w:cs="Times New Roman"/>
                <w:sz w:val="18"/>
                <w:szCs w:val="18"/>
              </w:rPr>
              <w:t>Flokkur C</w:t>
            </w:r>
          </w:p>
          <w:p w:rsidR="00070AC5" w:rsidRPr="00501852" w:rsidRDefault="00070AC5" w:rsidP="00070AC5">
            <w:pPr>
              <w:pStyle w:val="Tflutexti"/>
              <w:spacing w:before="0" w:after="0" w:line="240" w:lineRule="auto"/>
              <w:rPr>
                <w:rFonts w:ascii="Times New Roman" w:hAnsi="Times New Roman" w:cs="Times New Roman"/>
                <w:sz w:val="18"/>
                <w:szCs w:val="18"/>
              </w:rPr>
            </w:pPr>
          </w:p>
        </w:tc>
      </w:tr>
      <w:tr w:rsidR="00070AC5" w:rsidRPr="00501852" w:rsidTr="00501852">
        <w:trPr>
          <w:trHeight w:val="416"/>
        </w:trPr>
        <w:tc>
          <w:tcPr>
            <w:tcW w:w="838" w:type="dxa"/>
          </w:tcPr>
          <w:p w:rsidR="00070AC5" w:rsidRPr="00501852" w:rsidRDefault="00070AC5" w:rsidP="006F4DC8">
            <w:pPr>
              <w:pStyle w:val="Tflutexti"/>
              <w:spacing w:before="0" w:after="0" w:line="240" w:lineRule="auto"/>
              <w:rPr>
                <w:rFonts w:ascii="Times New Roman" w:hAnsi="Times New Roman" w:cs="Times New Roman"/>
                <w:sz w:val="18"/>
                <w:szCs w:val="18"/>
              </w:rPr>
            </w:pPr>
          </w:p>
        </w:tc>
        <w:tc>
          <w:tcPr>
            <w:tcW w:w="1156" w:type="dxa"/>
            <w:gridSpan w:val="2"/>
          </w:tcPr>
          <w:p w:rsidR="00070AC5" w:rsidRPr="00501852" w:rsidRDefault="00070AC5" w:rsidP="006F4DC8">
            <w:pPr>
              <w:pStyle w:val="Tflutexti"/>
              <w:spacing w:after="0" w:line="240" w:lineRule="auto"/>
              <w:rPr>
                <w:rFonts w:ascii="Times New Roman" w:hAnsi="Times New Roman" w:cs="Times New Roman"/>
                <w:sz w:val="18"/>
                <w:szCs w:val="18"/>
              </w:rPr>
            </w:pPr>
            <w:r w:rsidRPr="00501852">
              <w:rPr>
                <w:rFonts w:ascii="Times New Roman" w:hAnsi="Times New Roman" w:cs="Times New Roman"/>
                <w:sz w:val="18"/>
                <w:szCs w:val="18"/>
              </w:rPr>
              <w:t>Liður 3.1.13.</w:t>
            </w:r>
          </w:p>
        </w:tc>
        <w:tc>
          <w:tcPr>
            <w:tcW w:w="6380" w:type="dxa"/>
          </w:tcPr>
          <w:p w:rsidR="00070AC5" w:rsidRPr="00501852" w:rsidRDefault="00070AC5" w:rsidP="006F4DC8">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Lýsing á hvers kyns takmörkunum á framsali verðbréfanna.</w:t>
            </w:r>
          </w:p>
        </w:tc>
        <w:tc>
          <w:tcPr>
            <w:tcW w:w="986" w:type="dxa"/>
          </w:tcPr>
          <w:p w:rsidR="00070AC5" w:rsidRPr="00501852" w:rsidRDefault="00070AC5" w:rsidP="006F4DC8">
            <w:pPr>
              <w:pStyle w:val="Tflutexti"/>
              <w:spacing w:after="0" w:line="240" w:lineRule="auto"/>
              <w:rPr>
                <w:rFonts w:ascii="Times New Roman" w:hAnsi="Times New Roman" w:cs="Times New Roman"/>
                <w:sz w:val="18"/>
                <w:szCs w:val="18"/>
              </w:rPr>
            </w:pPr>
            <w:r w:rsidRPr="00501852">
              <w:rPr>
                <w:rFonts w:ascii="Times New Roman" w:hAnsi="Times New Roman" w:cs="Times New Roman"/>
                <w:sz w:val="18"/>
                <w:szCs w:val="18"/>
              </w:rPr>
              <w:t>Flokkur A</w:t>
            </w:r>
          </w:p>
        </w:tc>
      </w:tr>
      <w:tr w:rsidR="00070AC5" w:rsidRPr="00501852" w:rsidTr="00501852">
        <w:trPr>
          <w:trHeight w:val="567"/>
        </w:trPr>
        <w:tc>
          <w:tcPr>
            <w:tcW w:w="838" w:type="dxa"/>
          </w:tcPr>
          <w:p w:rsidR="00070AC5" w:rsidRPr="00501852" w:rsidRDefault="00070AC5" w:rsidP="00070AC5">
            <w:pPr>
              <w:pStyle w:val="Tflutexti"/>
              <w:spacing w:line="240" w:lineRule="auto"/>
              <w:rPr>
                <w:rFonts w:ascii="Times New Roman" w:hAnsi="Times New Roman" w:cs="Times New Roman"/>
                <w:sz w:val="18"/>
                <w:szCs w:val="18"/>
              </w:rPr>
            </w:pPr>
          </w:p>
        </w:tc>
        <w:tc>
          <w:tcPr>
            <w:tcW w:w="1156" w:type="dxa"/>
            <w:gridSpan w:val="2"/>
          </w:tcPr>
          <w:p w:rsidR="00070AC5" w:rsidRPr="00501852" w:rsidRDefault="00070AC5" w:rsidP="00070AC5">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Liður 3.1.14.</w:t>
            </w:r>
          </w:p>
        </w:tc>
        <w:tc>
          <w:tcPr>
            <w:tcW w:w="6380" w:type="dxa"/>
          </w:tcPr>
          <w:p w:rsidR="00070AC5" w:rsidRPr="00501852" w:rsidRDefault="00070AC5" w:rsidP="00070AC5">
            <w:pPr>
              <w:pStyle w:val="Tflutexti"/>
              <w:rPr>
                <w:rFonts w:ascii="Times New Roman" w:hAnsi="Times New Roman" w:cs="Times New Roman"/>
                <w:sz w:val="18"/>
                <w:szCs w:val="18"/>
              </w:rPr>
            </w:pPr>
            <w:r w:rsidRPr="00501852">
              <w:rPr>
                <w:rFonts w:ascii="Times New Roman" w:hAnsi="Times New Roman" w:cs="Times New Roman"/>
                <w:sz w:val="18"/>
                <w:szCs w:val="18"/>
              </w:rPr>
              <w:t>Viðvörun um að skattalög aðildarríkis fjárfestisins og skráningarlands útgefanda gætu haft áhrif á tekjur af verðbréfunum.</w:t>
            </w:r>
          </w:p>
          <w:p w:rsidR="00070AC5" w:rsidRPr="00501852" w:rsidRDefault="00070AC5" w:rsidP="00070AC5">
            <w:pPr>
              <w:pStyle w:val="Tflutexti"/>
              <w:rPr>
                <w:rFonts w:ascii="Times New Roman" w:hAnsi="Times New Roman" w:cs="Times New Roman"/>
                <w:sz w:val="18"/>
                <w:szCs w:val="18"/>
              </w:rPr>
            </w:pPr>
            <w:r w:rsidRPr="00501852">
              <w:rPr>
                <w:rFonts w:ascii="Times New Roman" w:hAnsi="Times New Roman" w:cs="Times New Roman"/>
                <w:sz w:val="18"/>
                <w:szCs w:val="18"/>
              </w:rPr>
              <w:lastRenderedPageBreak/>
              <w:t>Upplýsingar um skattlagningu verðbréfanna ef fyrirhuguð fjárfesting fellur undir skattareglur sem eru sértækar fyrir viðkomandi tegund fjárfestinga.</w:t>
            </w:r>
          </w:p>
        </w:tc>
        <w:tc>
          <w:tcPr>
            <w:tcW w:w="986" w:type="dxa"/>
          </w:tcPr>
          <w:p w:rsidR="00070AC5" w:rsidRPr="00501852" w:rsidRDefault="00070AC5" w:rsidP="00070AC5">
            <w:pPr>
              <w:pStyle w:val="Tflutexti"/>
              <w:spacing w:after="0" w:line="240" w:lineRule="auto"/>
              <w:rPr>
                <w:rFonts w:ascii="Times New Roman" w:hAnsi="Times New Roman" w:cs="Times New Roman"/>
                <w:sz w:val="18"/>
                <w:szCs w:val="18"/>
              </w:rPr>
            </w:pPr>
            <w:r w:rsidRPr="00501852">
              <w:rPr>
                <w:rFonts w:ascii="Times New Roman" w:hAnsi="Times New Roman" w:cs="Times New Roman"/>
                <w:sz w:val="18"/>
                <w:szCs w:val="18"/>
              </w:rPr>
              <w:lastRenderedPageBreak/>
              <w:t>Flokkur A</w:t>
            </w:r>
          </w:p>
        </w:tc>
      </w:tr>
      <w:tr w:rsidR="00070AC5" w:rsidRPr="00501852" w:rsidTr="00501852">
        <w:trPr>
          <w:trHeight w:val="567"/>
        </w:trPr>
        <w:tc>
          <w:tcPr>
            <w:tcW w:w="838" w:type="dxa"/>
          </w:tcPr>
          <w:p w:rsidR="00070AC5" w:rsidRPr="00501852" w:rsidRDefault="00070AC5" w:rsidP="00070AC5">
            <w:pPr>
              <w:pStyle w:val="Tflutexti"/>
              <w:spacing w:line="240" w:lineRule="auto"/>
              <w:rPr>
                <w:rFonts w:ascii="Times New Roman" w:hAnsi="Times New Roman" w:cs="Times New Roman"/>
                <w:sz w:val="18"/>
                <w:szCs w:val="18"/>
              </w:rPr>
            </w:pPr>
          </w:p>
        </w:tc>
        <w:tc>
          <w:tcPr>
            <w:tcW w:w="1156" w:type="dxa"/>
            <w:gridSpan w:val="2"/>
          </w:tcPr>
          <w:p w:rsidR="00070AC5" w:rsidRPr="00501852" w:rsidRDefault="00070AC5" w:rsidP="00070AC5">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Liður 3.1.15.</w:t>
            </w:r>
          </w:p>
        </w:tc>
        <w:tc>
          <w:tcPr>
            <w:tcW w:w="6380" w:type="dxa"/>
          </w:tcPr>
          <w:p w:rsidR="00070AC5" w:rsidRPr="00501852" w:rsidRDefault="00070AC5" w:rsidP="00070AC5">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Sé sá sem býður út verðbréfin og/eða sækir um töku til viðskipta annar en útgefandi skal tilgreina hver hann er og samskiptaupplýsingar hans, þ.m.t. auðkenni lögaðila (LEI-númer) ef hann er lögaðili.</w:t>
            </w:r>
          </w:p>
        </w:tc>
        <w:tc>
          <w:tcPr>
            <w:tcW w:w="986" w:type="dxa"/>
          </w:tcPr>
          <w:p w:rsidR="00070AC5" w:rsidRPr="00501852" w:rsidRDefault="00070AC5" w:rsidP="00070AC5">
            <w:pPr>
              <w:pStyle w:val="Tflutexti"/>
              <w:spacing w:after="0" w:line="240" w:lineRule="auto"/>
              <w:rPr>
                <w:rFonts w:ascii="Times New Roman" w:hAnsi="Times New Roman" w:cs="Times New Roman"/>
                <w:sz w:val="18"/>
                <w:szCs w:val="18"/>
              </w:rPr>
            </w:pPr>
            <w:r w:rsidRPr="00501852">
              <w:rPr>
                <w:rFonts w:ascii="Times New Roman" w:hAnsi="Times New Roman" w:cs="Times New Roman"/>
                <w:sz w:val="18"/>
                <w:szCs w:val="18"/>
              </w:rPr>
              <w:t>Flokkur C</w:t>
            </w:r>
          </w:p>
        </w:tc>
      </w:tr>
      <w:tr w:rsidR="00070AC5" w:rsidRPr="00501852" w:rsidTr="00501852">
        <w:trPr>
          <w:trHeight w:val="592"/>
        </w:trPr>
        <w:tc>
          <w:tcPr>
            <w:tcW w:w="838" w:type="dxa"/>
          </w:tcPr>
          <w:p w:rsidR="00070AC5" w:rsidRPr="00501852" w:rsidRDefault="00070AC5" w:rsidP="00070AC5">
            <w:pPr>
              <w:pStyle w:val="Tflutexti"/>
              <w:spacing w:line="240" w:lineRule="auto"/>
              <w:rPr>
                <w:rFonts w:ascii="Times New Roman" w:hAnsi="Times New Roman" w:cs="Times New Roman"/>
                <w:sz w:val="18"/>
                <w:szCs w:val="18"/>
              </w:rPr>
            </w:pPr>
          </w:p>
        </w:tc>
        <w:tc>
          <w:tcPr>
            <w:tcW w:w="1156" w:type="dxa"/>
            <w:gridSpan w:val="2"/>
          </w:tcPr>
          <w:p w:rsidR="00070AC5" w:rsidRPr="00501852" w:rsidRDefault="00070AC5" w:rsidP="00070AC5">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Liður 3.1.16.</w:t>
            </w:r>
          </w:p>
        </w:tc>
        <w:tc>
          <w:tcPr>
            <w:tcW w:w="6380" w:type="dxa"/>
          </w:tcPr>
          <w:p w:rsidR="00070AC5" w:rsidRPr="00501852" w:rsidRDefault="00070AC5" w:rsidP="00070AC5">
            <w:pPr>
              <w:pStyle w:val="Tflutexti"/>
              <w:rPr>
                <w:rFonts w:ascii="Times New Roman" w:hAnsi="Times New Roman" w:cs="Times New Roman"/>
                <w:sz w:val="18"/>
                <w:szCs w:val="18"/>
              </w:rPr>
            </w:pPr>
            <w:r w:rsidRPr="00501852">
              <w:rPr>
                <w:rFonts w:ascii="Times New Roman" w:hAnsi="Times New Roman" w:cs="Times New Roman"/>
                <w:sz w:val="18"/>
                <w:szCs w:val="18"/>
              </w:rPr>
              <w:t>Eftir atvikum, möguleg áhrif á fjárfestinguna ef til skilameðferðar kæmi samkvæmt tilskipun 2014/59/ESB.</w:t>
            </w:r>
          </w:p>
        </w:tc>
        <w:tc>
          <w:tcPr>
            <w:tcW w:w="986" w:type="dxa"/>
          </w:tcPr>
          <w:p w:rsidR="00070AC5" w:rsidRPr="00501852" w:rsidRDefault="00070AC5" w:rsidP="00070AC5">
            <w:pPr>
              <w:pStyle w:val="Tflutexti"/>
              <w:rPr>
                <w:rFonts w:ascii="Times New Roman" w:hAnsi="Times New Roman" w:cs="Times New Roman"/>
                <w:sz w:val="18"/>
                <w:szCs w:val="18"/>
              </w:rPr>
            </w:pPr>
          </w:p>
        </w:tc>
      </w:tr>
      <w:tr w:rsidR="00070AC5" w:rsidRPr="00501852" w:rsidTr="00501852">
        <w:trPr>
          <w:trHeight w:val="567"/>
        </w:trPr>
        <w:tc>
          <w:tcPr>
            <w:tcW w:w="838" w:type="dxa"/>
          </w:tcPr>
          <w:p w:rsidR="00070AC5" w:rsidRPr="00501852" w:rsidRDefault="00070AC5" w:rsidP="00070AC5">
            <w:pPr>
              <w:pStyle w:val="Tflutexti"/>
              <w:spacing w:line="240" w:lineRule="auto"/>
              <w:rPr>
                <w:rFonts w:ascii="Times New Roman" w:hAnsi="Times New Roman" w:cs="Times New Roman"/>
                <w:sz w:val="18"/>
                <w:szCs w:val="18"/>
              </w:rPr>
            </w:pPr>
          </w:p>
        </w:tc>
        <w:tc>
          <w:tcPr>
            <w:tcW w:w="1156" w:type="dxa"/>
            <w:gridSpan w:val="2"/>
          </w:tcPr>
          <w:p w:rsidR="00070AC5" w:rsidRPr="00501852" w:rsidRDefault="00070AC5" w:rsidP="00070AC5">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Liður 3.1.17.</w:t>
            </w:r>
          </w:p>
        </w:tc>
        <w:tc>
          <w:tcPr>
            <w:tcW w:w="6380" w:type="dxa"/>
          </w:tcPr>
          <w:p w:rsidR="00070AC5" w:rsidRPr="00501852" w:rsidRDefault="00070AC5" w:rsidP="00070AC5">
            <w:pPr>
              <w:pStyle w:val="Tflutexti"/>
              <w:spacing w:after="0"/>
              <w:rPr>
                <w:rFonts w:ascii="Times New Roman" w:hAnsi="Times New Roman" w:cs="Times New Roman"/>
                <w:sz w:val="18"/>
                <w:szCs w:val="18"/>
              </w:rPr>
            </w:pPr>
            <w:r w:rsidRPr="00501852">
              <w:rPr>
                <w:rFonts w:ascii="Times New Roman" w:hAnsi="Times New Roman" w:cs="Times New Roman"/>
                <w:sz w:val="18"/>
                <w:szCs w:val="18"/>
              </w:rPr>
              <w:t>Upplýsingar um afleiður</w:t>
            </w:r>
          </w:p>
          <w:p w:rsidR="00070AC5" w:rsidRPr="00501852" w:rsidRDefault="00070AC5" w:rsidP="00070AC5">
            <w:pPr>
              <w:pStyle w:val="Tflutexti"/>
              <w:spacing w:before="0"/>
              <w:rPr>
                <w:rFonts w:ascii="Times New Roman" w:hAnsi="Times New Roman" w:cs="Times New Roman"/>
                <w:sz w:val="18"/>
                <w:szCs w:val="18"/>
              </w:rPr>
            </w:pPr>
            <w:r w:rsidRPr="00501852">
              <w:rPr>
                <w:rFonts w:ascii="Times New Roman" w:hAnsi="Times New Roman" w:cs="Times New Roman"/>
                <w:sz w:val="18"/>
                <w:szCs w:val="18"/>
              </w:rPr>
              <w:t>Sé um að ræða útgáfu afleiðna sem hluta af ESB-vaxtarlýsingu, upplýsingarnar sem krafist er í 17. viðauka.</w:t>
            </w:r>
          </w:p>
        </w:tc>
        <w:tc>
          <w:tcPr>
            <w:tcW w:w="986" w:type="dxa"/>
            <w:tcBorders>
              <w:bottom w:val="single" w:sz="4" w:space="0" w:color="auto"/>
            </w:tcBorders>
          </w:tcPr>
          <w:p w:rsidR="00070AC5" w:rsidRPr="00501852" w:rsidRDefault="00070AC5" w:rsidP="00070AC5">
            <w:pPr>
              <w:pStyle w:val="Tflutexti"/>
              <w:spacing w:after="0" w:line="240" w:lineRule="auto"/>
              <w:rPr>
                <w:rFonts w:ascii="Times New Roman" w:hAnsi="Times New Roman" w:cs="Times New Roman"/>
                <w:sz w:val="18"/>
                <w:szCs w:val="18"/>
              </w:rPr>
            </w:pPr>
          </w:p>
        </w:tc>
      </w:tr>
      <w:tr w:rsidR="006F4DC8" w:rsidRPr="00501852" w:rsidTr="00501852">
        <w:trPr>
          <w:trHeight w:val="567"/>
        </w:trPr>
        <w:tc>
          <w:tcPr>
            <w:tcW w:w="838" w:type="dxa"/>
          </w:tcPr>
          <w:p w:rsidR="006F4DC8" w:rsidRPr="00501852" w:rsidRDefault="006F4DC8" w:rsidP="00070AC5">
            <w:pPr>
              <w:pStyle w:val="Tflutexti"/>
              <w:spacing w:line="240" w:lineRule="auto"/>
              <w:rPr>
                <w:rFonts w:ascii="Times New Roman" w:hAnsi="Times New Roman" w:cs="Times New Roman"/>
                <w:sz w:val="18"/>
                <w:szCs w:val="18"/>
              </w:rPr>
            </w:pPr>
          </w:p>
        </w:tc>
        <w:tc>
          <w:tcPr>
            <w:tcW w:w="1156" w:type="dxa"/>
            <w:gridSpan w:val="2"/>
          </w:tcPr>
          <w:p w:rsidR="006F4DC8" w:rsidRPr="00501852" w:rsidRDefault="006F4DC8" w:rsidP="00070AC5">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4. ÞÁTTUR</w:t>
            </w:r>
          </w:p>
        </w:tc>
        <w:tc>
          <w:tcPr>
            <w:tcW w:w="7366" w:type="dxa"/>
            <w:gridSpan w:val="2"/>
          </w:tcPr>
          <w:p w:rsidR="006F4DC8" w:rsidRPr="00501852" w:rsidRDefault="006F4DC8" w:rsidP="00783EA2">
            <w:pPr>
              <w:pStyle w:val="Tflutexti"/>
              <w:spacing w:after="0"/>
              <w:rPr>
                <w:rFonts w:ascii="Times New Roman" w:hAnsi="Times New Roman" w:cs="Times New Roman"/>
                <w:sz w:val="18"/>
                <w:szCs w:val="18"/>
              </w:rPr>
            </w:pPr>
            <w:r w:rsidRPr="00501852">
              <w:rPr>
                <w:rFonts w:ascii="Times New Roman" w:hAnsi="Times New Roman" w:cs="Times New Roman"/>
                <w:sz w:val="18"/>
                <w:szCs w:val="18"/>
              </w:rPr>
              <w:t>UPPLÝSINGAR UM ÚTBOÐ/TÖKU TIL VIÐSKIPTA</w:t>
            </w:r>
          </w:p>
          <w:p w:rsidR="006F4DC8" w:rsidRPr="00501852" w:rsidRDefault="006F4DC8" w:rsidP="006F4DC8">
            <w:pPr>
              <w:pStyle w:val="Tflutexti"/>
              <w:spacing w:line="240" w:lineRule="auto"/>
              <w:rPr>
                <w:rFonts w:ascii="Times New Roman" w:hAnsi="Times New Roman" w:cs="Times New Roman"/>
                <w:sz w:val="18"/>
                <w:szCs w:val="18"/>
              </w:rPr>
            </w:pPr>
            <w:r w:rsidRPr="00501852">
              <w:rPr>
                <w:rFonts w:ascii="Times New Roman" w:hAnsi="Times New Roman" w:cs="Times New Roman"/>
                <w:i/>
                <w:sz w:val="18"/>
                <w:szCs w:val="18"/>
              </w:rPr>
              <w:t>Tilgangur þessa þáttar er að tilgreina sértækar upplýsingar um útboð verðbréfanna, áætlunina um dreifingu og úthlutun þeirra og verðlagningu þeirra. Ennfremur veitir hann upplýsingar um setningu verðbréfanna á markað, samninga um sölutryggingu og fyrirkomulag í tengslum við töku til viðskipta. Einnig eru tilgreindar í honum upplýsingar um þá aðila sem selja verðbréfin og þynningu fyrir hluthafa sem fyrir eru.</w:t>
            </w:r>
          </w:p>
        </w:tc>
      </w:tr>
      <w:tr w:rsidR="006F4DC8" w:rsidRPr="00501852" w:rsidTr="00501852">
        <w:trPr>
          <w:trHeight w:val="567"/>
        </w:trPr>
        <w:tc>
          <w:tcPr>
            <w:tcW w:w="838" w:type="dxa"/>
          </w:tcPr>
          <w:p w:rsidR="006F4DC8" w:rsidRPr="00501852" w:rsidRDefault="006F4DC8" w:rsidP="00070AC5">
            <w:pPr>
              <w:pStyle w:val="Tflutexti"/>
              <w:spacing w:line="240" w:lineRule="auto"/>
              <w:rPr>
                <w:rFonts w:ascii="Times New Roman" w:hAnsi="Times New Roman" w:cs="Times New Roman"/>
                <w:sz w:val="18"/>
                <w:szCs w:val="18"/>
              </w:rPr>
            </w:pPr>
          </w:p>
        </w:tc>
        <w:tc>
          <w:tcPr>
            <w:tcW w:w="1156" w:type="dxa"/>
            <w:gridSpan w:val="2"/>
          </w:tcPr>
          <w:p w:rsidR="006F4DC8" w:rsidRPr="00501852" w:rsidRDefault="006F4DC8" w:rsidP="00070AC5">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Liður 4.1.</w:t>
            </w:r>
          </w:p>
        </w:tc>
        <w:tc>
          <w:tcPr>
            <w:tcW w:w="7366" w:type="dxa"/>
            <w:gridSpan w:val="2"/>
          </w:tcPr>
          <w:p w:rsidR="006F4DC8" w:rsidRPr="00501852" w:rsidRDefault="006F4DC8" w:rsidP="00070AC5">
            <w:pPr>
              <w:pStyle w:val="Tflutexti"/>
              <w:spacing w:after="0"/>
              <w:rPr>
                <w:rFonts w:ascii="Times New Roman" w:hAnsi="Times New Roman" w:cs="Times New Roman"/>
                <w:sz w:val="18"/>
                <w:szCs w:val="18"/>
              </w:rPr>
            </w:pPr>
            <w:r w:rsidRPr="00501852">
              <w:rPr>
                <w:rFonts w:ascii="Times New Roman" w:hAnsi="Times New Roman" w:cs="Times New Roman"/>
                <w:sz w:val="18"/>
                <w:szCs w:val="18"/>
              </w:rPr>
              <w:t>Skilmálar almenns útboðs verðbréfa</w:t>
            </w:r>
          </w:p>
          <w:p w:rsidR="006F4DC8" w:rsidRPr="00501852" w:rsidRDefault="006F4DC8" w:rsidP="006F4DC8">
            <w:pPr>
              <w:pStyle w:val="Tflutexti"/>
              <w:spacing w:before="0"/>
              <w:rPr>
                <w:rFonts w:ascii="Times New Roman" w:hAnsi="Times New Roman" w:cs="Times New Roman"/>
                <w:sz w:val="18"/>
                <w:szCs w:val="18"/>
              </w:rPr>
            </w:pPr>
            <w:r w:rsidRPr="00501852">
              <w:rPr>
                <w:rFonts w:ascii="Times New Roman" w:hAnsi="Times New Roman" w:cs="Times New Roman"/>
                <w:sz w:val="18"/>
                <w:szCs w:val="18"/>
              </w:rPr>
              <w:t>(Skilmálar, tölfræðilegar upplýsingar um útboð, fyrirhuguð tímaáætlun og ráðstafanir sem þarf að gera til að taka þátt í útboðinu).</w:t>
            </w:r>
          </w:p>
        </w:tc>
      </w:tr>
      <w:tr w:rsidR="00070AC5" w:rsidRPr="00501852" w:rsidTr="00501852">
        <w:trPr>
          <w:trHeight w:val="407"/>
        </w:trPr>
        <w:tc>
          <w:tcPr>
            <w:tcW w:w="838" w:type="dxa"/>
          </w:tcPr>
          <w:p w:rsidR="00070AC5" w:rsidRPr="00501852" w:rsidRDefault="00070AC5" w:rsidP="00070AC5">
            <w:pPr>
              <w:pStyle w:val="Tflutexti"/>
              <w:spacing w:line="240" w:lineRule="auto"/>
              <w:rPr>
                <w:rFonts w:ascii="Times New Roman" w:hAnsi="Times New Roman" w:cs="Times New Roman"/>
                <w:sz w:val="18"/>
                <w:szCs w:val="18"/>
              </w:rPr>
            </w:pPr>
          </w:p>
        </w:tc>
        <w:tc>
          <w:tcPr>
            <w:tcW w:w="1156" w:type="dxa"/>
            <w:gridSpan w:val="2"/>
          </w:tcPr>
          <w:p w:rsidR="00070AC5" w:rsidRPr="00501852" w:rsidRDefault="00070AC5" w:rsidP="00070AC5">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Liður 4.</w:t>
            </w:r>
            <w:r w:rsidR="00783EA2" w:rsidRPr="00501852">
              <w:rPr>
                <w:rFonts w:ascii="Times New Roman" w:hAnsi="Times New Roman" w:cs="Times New Roman"/>
                <w:sz w:val="18"/>
                <w:szCs w:val="18"/>
              </w:rPr>
              <w:t>1.1.</w:t>
            </w:r>
          </w:p>
        </w:tc>
        <w:tc>
          <w:tcPr>
            <w:tcW w:w="6380" w:type="dxa"/>
          </w:tcPr>
          <w:p w:rsidR="00070AC5" w:rsidRPr="00501852" w:rsidRDefault="00783EA2" w:rsidP="00070AC5">
            <w:pPr>
              <w:pStyle w:val="Tflutexti"/>
              <w:rPr>
                <w:rFonts w:ascii="Times New Roman" w:hAnsi="Times New Roman" w:cs="Times New Roman"/>
                <w:sz w:val="18"/>
                <w:szCs w:val="18"/>
              </w:rPr>
            </w:pPr>
            <w:r w:rsidRPr="00501852">
              <w:rPr>
                <w:rFonts w:ascii="Times New Roman" w:hAnsi="Times New Roman" w:cs="Times New Roman"/>
                <w:sz w:val="18"/>
                <w:szCs w:val="18"/>
              </w:rPr>
              <w:t>Skilyrði sem gilda um útboðið</w:t>
            </w:r>
          </w:p>
        </w:tc>
        <w:tc>
          <w:tcPr>
            <w:tcW w:w="986" w:type="dxa"/>
          </w:tcPr>
          <w:p w:rsidR="00070AC5" w:rsidRPr="00501852" w:rsidRDefault="00070AC5" w:rsidP="00070AC5">
            <w:pPr>
              <w:pStyle w:val="Tflutexti"/>
              <w:rPr>
                <w:rFonts w:ascii="Times New Roman" w:hAnsi="Times New Roman" w:cs="Times New Roman"/>
                <w:sz w:val="18"/>
                <w:szCs w:val="18"/>
              </w:rPr>
            </w:pPr>
            <w:r w:rsidRPr="00501852">
              <w:rPr>
                <w:rFonts w:ascii="Times New Roman" w:hAnsi="Times New Roman" w:cs="Times New Roman"/>
                <w:sz w:val="18"/>
                <w:szCs w:val="18"/>
              </w:rPr>
              <w:t>Flokkur C</w:t>
            </w:r>
          </w:p>
        </w:tc>
      </w:tr>
      <w:tr w:rsidR="00070AC5" w:rsidRPr="00501852" w:rsidTr="00501852">
        <w:trPr>
          <w:trHeight w:val="567"/>
        </w:trPr>
        <w:tc>
          <w:tcPr>
            <w:tcW w:w="838" w:type="dxa"/>
          </w:tcPr>
          <w:p w:rsidR="00070AC5" w:rsidRPr="00501852" w:rsidRDefault="00070AC5" w:rsidP="00070AC5">
            <w:pPr>
              <w:pStyle w:val="Tflutexti"/>
              <w:spacing w:line="240" w:lineRule="auto"/>
              <w:rPr>
                <w:rFonts w:ascii="Times New Roman" w:hAnsi="Times New Roman" w:cs="Times New Roman"/>
                <w:sz w:val="18"/>
                <w:szCs w:val="18"/>
              </w:rPr>
            </w:pPr>
          </w:p>
        </w:tc>
        <w:tc>
          <w:tcPr>
            <w:tcW w:w="1156" w:type="dxa"/>
            <w:gridSpan w:val="2"/>
          </w:tcPr>
          <w:p w:rsidR="00070AC5" w:rsidRPr="00501852" w:rsidRDefault="00783EA2" w:rsidP="00070AC5">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Liður 4.1.2.</w:t>
            </w:r>
          </w:p>
        </w:tc>
        <w:tc>
          <w:tcPr>
            <w:tcW w:w="6380" w:type="dxa"/>
          </w:tcPr>
          <w:p w:rsidR="00783EA2" w:rsidRPr="00501852" w:rsidRDefault="00783EA2" w:rsidP="00783EA2">
            <w:pPr>
              <w:pStyle w:val="Tflutexti"/>
              <w:rPr>
                <w:rFonts w:ascii="Times New Roman" w:hAnsi="Times New Roman" w:cs="Times New Roman"/>
                <w:sz w:val="18"/>
                <w:szCs w:val="18"/>
              </w:rPr>
            </w:pPr>
            <w:r w:rsidRPr="00501852">
              <w:rPr>
                <w:rFonts w:ascii="Times New Roman" w:hAnsi="Times New Roman" w:cs="Times New Roman"/>
                <w:sz w:val="18"/>
                <w:szCs w:val="18"/>
              </w:rPr>
              <w:t>Heildarmagn verðbréfa sem boðin eru í almennu útboði. Sé fjárhæðin ekki föst skal tilgreina hámarksmagn verðbréfa sem boðin verða (liggi það fyrir) og lýsa hvernig og á hvaða tímabili endanleg fjárhæð útboðsins verður tilkynnt opinberlega.</w:t>
            </w:r>
          </w:p>
          <w:p w:rsidR="00070AC5" w:rsidRPr="00501852" w:rsidRDefault="00783EA2" w:rsidP="00783EA2">
            <w:pPr>
              <w:pStyle w:val="Tflutexti"/>
              <w:rPr>
                <w:rFonts w:ascii="Times New Roman" w:hAnsi="Times New Roman" w:cs="Times New Roman"/>
                <w:sz w:val="18"/>
                <w:szCs w:val="18"/>
              </w:rPr>
            </w:pPr>
            <w:r w:rsidRPr="00501852">
              <w:rPr>
                <w:rFonts w:ascii="Times New Roman" w:hAnsi="Times New Roman" w:cs="Times New Roman"/>
                <w:sz w:val="18"/>
                <w:szCs w:val="18"/>
              </w:rPr>
              <w:t>Sé ekki hægt að tilgreina í lýsingu hámarksmagn verðbréfa sem boðin verða skal koma fram í henni að hægt verði að afturkalla samþykki á kaupum á eða áskrift að verðbréfum í a.m.k. tvo virka daga eftir að tilkynnt er um verðbréfamagnið sem boðið verður í almenna útboðinu.</w:t>
            </w:r>
          </w:p>
        </w:tc>
        <w:tc>
          <w:tcPr>
            <w:tcW w:w="986" w:type="dxa"/>
          </w:tcPr>
          <w:p w:rsidR="00070AC5" w:rsidRPr="00501852" w:rsidRDefault="00070AC5" w:rsidP="00070AC5">
            <w:pPr>
              <w:pStyle w:val="Tflutexti"/>
              <w:rPr>
                <w:rFonts w:ascii="Times New Roman" w:hAnsi="Times New Roman" w:cs="Times New Roman"/>
                <w:sz w:val="18"/>
                <w:szCs w:val="18"/>
              </w:rPr>
            </w:pPr>
            <w:r w:rsidRPr="00501852">
              <w:rPr>
                <w:rFonts w:ascii="Times New Roman" w:hAnsi="Times New Roman" w:cs="Times New Roman"/>
                <w:sz w:val="18"/>
                <w:szCs w:val="18"/>
              </w:rPr>
              <w:t>Flokkur C</w:t>
            </w:r>
          </w:p>
        </w:tc>
      </w:tr>
      <w:tr w:rsidR="00070AC5" w:rsidRPr="00501852" w:rsidTr="00501852">
        <w:trPr>
          <w:trHeight w:val="567"/>
        </w:trPr>
        <w:tc>
          <w:tcPr>
            <w:tcW w:w="838" w:type="dxa"/>
          </w:tcPr>
          <w:p w:rsidR="00070AC5" w:rsidRPr="00501852" w:rsidRDefault="00070AC5" w:rsidP="00070AC5">
            <w:pPr>
              <w:pStyle w:val="Tflutexti"/>
              <w:spacing w:line="240" w:lineRule="auto"/>
              <w:rPr>
                <w:rFonts w:ascii="Times New Roman" w:hAnsi="Times New Roman" w:cs="Times New Roman"/>
                <w:sz w:val="18"/>
                <w:szCs w:val="18"/>
              </w:rPr>
            </w:pPr>
          </w:p>
        </w:tc>
        <w:tc>
          <w:tcPr>
            <w:tcW w:w="1156" w:type="dxa"/>
            <w:gridSpan w:val="2"/>
          </w:tcPr>
          <w:p w:rsidR="00070AC5" w:rsidRPr="00501852" w:rsidRDefault="00783EA2" w:rsidP="00070AC5">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Liður 4.1.3.</w:t>
            </w:r>
          </w:p>
        </w:tc>
        <w:tc>
          <w:tcPr>
            <w:tcW w:w="6380" w:type="dxa"/>
          </w:tcPr>
          <w:p w:rsidR="00070AC5" w:rsidRPr="00501852" w:rsidRDefault="00783EA2" w:rsidP="00070AC5">
            <w:pPr>
              <w:pStyle w:val="Tflutexti"/>
              <w:spacing w:after="0" w:line="240" w:lineRule="auto"/>
              <w:rPr>
                <w:rFonts w:ascii="Times New Roman" w:hAnsi="Times New Roman" w:cs="Times New Roman"/>
                <w:sz w:val="18"/>
                <w:szCs w:val="18"/>
              </w:rPr>
            </w:pPr>
            <w:r w:rsidRPr="00501852">
              <w:rPr>
                <w:rFonts w:ascii="Times New Roman" w:hAnsi="Times New Roman" w:cs="Times New Roman"/>
                <w:sz w:val="18"/>
                <w:szCs w:val="18"/>
              </w:rPr>
              <w:t>Upplýsingar um útboðstímabil, þ.m.t. hvers kyns mögulegar breytingar, og lýsing á áskriftarferlinu.</w:t>
            </w:r>
          </w:p>
        </w:tc>
        <w:tc>
          <w:tcPr>
            <w:tcW w:w="986" w:type="dxa"/>
            <w:tcBorders>
              <w:bottom w:val="single" w:sz="4" w:space="0" w:color="auto"/>
            </w:tcBorders>
          </w:tcPr>
          <w:p w:rsidR="00070AC5" w:rsidRPr="00501852" w:rsidRDefault="00070AC5" w:rsidP="00070AC5">
            <w:pPr>
              <w:pStyle w:val="Tflutexti"/>
              <w:spacing w:after="0" w:line="240" w:lineRule="auto"/>
              <w:rPr>
                <w:rFonts w:ascii="Times New Roman" w:hAnsi="Times New Roman" w:cs="Times New Roman"/>
                <w:sz w:val="18"/>
                <w:szCs w:val="18"/>
              </w:rPr>
            </w:pPr>
            <w:r w:rsidRPr="00501852">
              <w:rPr>
                <w:rFonts w:ascii="Times New Roman" w:hAnsi="Times New Roman" w:cs="Times New Roman"/>
                <w:sz w:val="18"/>
                <w:szCs w:val="18"/>
              </w:rPr>
              <w:t>Flokkur C</w:t>
            </w:r>
          </w:p>
        </w:tc>
      </w:tr>
      <w:tr w:rsidR="00070AC5" w:rsidRPr="00501852" w:rsidTr="00501852">
        <w:trPr>
          <w:trHeight w:val="567"/>
        </w:trPr>
        <w:tc>
          <w:tcPr>
            <w:tcW w:w="838" w:type="dxa"/>
          </w:tcPr>
          <w:p w:rsidR="00070AC5" w:rsidRPr="00501852" w:rsidRDefault="00070AC5" w:rsidP="00070AC5">
            <w:pPr>
              <w:pStyle w:val="Tflutexti"/>
              <w:spacing w:line="240" w:lineRule="auto"/>
              <w:rPr>
                <w:rFonts w:ascii="Times New Roman" w:hAnsi="Times New Roman" w:cs="Times New Roman"/>
                <w:sz w:val="18"/>
                <w:szCs w:val="18"/>
              </w:rPr>
            </w:pPr>
          </w:p>
        </w:tc>
        <w:tc>
          <w:tcPr>
            <w:tcW w:w="1156" w:type="dxa"/>
            <w:gridSpan w:val="2"/>
          </w:tcPr>
          <w:p w:rsidR="00070AC5" w:rsidRPr="00501852" w:rsidRDefault="00783EA2" w:rsidP="00070AC5">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Liður 4.1.4.</w:t>
            </w:r>
          </w:p>
        </w:tc>
        <w:tc>
          <w:tcPr>
            <w:tcW w:w="6380" w:type="dxa"/>
          </w:tcPr>
          <w:p w:rsidR="00070AC5" w:rsidRPr="00501852" w:rsidRDefault="00783EA2" w:rsidP="00070AC5">
            <w:pPr>
              <w:pStyle w:val="Tflutexti"/>
              <w:rPr>
                <w:rFonts w:ascii="Times New Roman" w:hAnsi="Times New Roman" w:cs="Times New Roman"/>
                <w:sz w:val="18"/>
                <w:szCs w:val="18"/>
              </w:rPr>
            </w:pPr>
            <w:r w:rsidRPr="00501852">
              <w:rPr>
                <w:rFonts w:ascii="Times New Roman" w:hAnsi="Times New Roman" w:cs="Times New Roman"/>
                <w:sz w:val="18"/>
                <w:szCs w:val="18"/>
              </w:rPr>
              <w:t>Upplýsingar um mögulegar skerðingar á áskriftum og með hvaða hætti endurgreiðsla umframfjárhæða sem umsækjendur hafa greitt fer fram.</w:t>
            </w:r>
          </w:p>
        </w:tc>
        <w:tc>
          <w:tcPr>
            <w:tcW w:w="986" w:type="dxa"/>
          </w:tcPr>
          <w:p w:rsidR="00070AC5" w:rsidRPr="00501852" w:rsidRDefault="00070AC5" w:rsidP="00070AC5">
            <w:pPr>
              <w:pStyle w:val="Tflutexti"/>
              <w:spacing w:after="0" w:line="240" w:lineRule="auto"/>
              <w:rPr>
                <w:rFonts w:ascii="Times New Roman" w:hAnsi="Times New Roman" w:cs="Times New Roman"/>
                <w:sz w:val="18"/>
                <w:szCs w:val="18"/>
              </w:rPr>
            </w:pPr>
            <w:r w:rsidRPr="00501852">
              <w:rPr>
                <w:rFonts w:ascii="Times New Roman" w:hAnsi="Times New Roman" w:cs="Times New Roman"/>
                <w:sz w:val="18"/>
                <w:szCs w:val="18"/>
              </w:rPr>
              <w:t>Flokkur C</w:t>
            </w:r>
          </w:p>
        </w:tc>
      </w:tr>
      <w:tr w:rsidR="00783EA2" w:rsidRPr="00501852" w:rsidTr="00501852">
        <w:trPr>
          <w:trHeight w:val="567"/>
        </w:trPr>
        <w:tc>
          <w:tcPr>
            <w:tcW w:w="838" w:type="dxa"/>
          </w:tcPr>
          <w:p w:rsidR="00783EA2" w:rsidRPr="00501852" w:rsidRDefault="00783EA2" w:rsidP="00783EA2">
            <w:pPr>
              <w:pStyle w:val="Tflutexti"/>
              <w:spacing w:line="240" w:lineRule="auto"/>
              <w:rPr>
                <w:rFonts w:ascii="Times New Roman" w:hAnsi="Times New Roman" w:cs="Times New Roman"/>
                <w:sz w:val="18"/>
                <w:szCs w:val="18"/>
              </w:rPr>
            </w:pPr>
          </w:p>
        </w:tc>
        <w:tc>
          <w:tcPr>
            <w:tcW w:w="1156" w:type="dxa"/>
            <w:gridSpan w:val="2"/>
          </w:tcPr>
          <w:p w:rsidR="00783EA2" w:rsidRPr="00501852" w:rsidRDefault="00783EA2" w:rsidP="00783EA2">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Liður 4.1.5.</w:t>
            </w:r>
          </w:p>
        </w:tc>
        <w:tc>
          <w:tcPr>
            <w:tcW w:w="6380" w:type="dxa"/>
          </w:tcPr>
          <w:p w:rsidR="00783EA2" w:rsidRPr="00501852" w:rsidRDefault="00783EA2" w:rsidP="00783EA2">
            <w:pPr>
              <w:pStyle w:val="Tflutexti"/>
              <w:rPr>
                <w:rFonts w:ascii="Times New Roman" w:hAnsi="Times New Roman" w:cs="Times New Roman"/>
                <w:sz w:val="18"/>
                <w:szCs w:val="18"/>
              </w:rPr>
            </w:pPr>
            <w:r w:rsidRPr="00501852">
              <w:rPr>
                <w:rFonts w:ascii="Times New Roman" w:hAnsi="Times New Roman" w:cs="Times New Roman"/>
                <w:sz w:val="18"/>
                <w:szCs w:val="18"/>
              </w:rPr>
              <w:t>Upplýsingar um lágmarks- og/eða hámarksmagn áskriftar (hvort sem er í formi fjölda verðbréfa eða samanlagðrar fjárfestingarfjárhæðar).</w:t>
            </w:r>
          </w:p>
        </w:tc>
        <w:tc>
          <w:tcPr>
            <w:tcW w:w="986" w:type="dxa"/>
          </w:tcPr>
          <w:p w:rsidR="00783EA2" w:rsidRPr="00501852" w:rsidRDefault="00783EA2" w:rsidP="00783EA2">
            <w:pPr>
              <w:pStyle w:val="Tflutexti"/>
              <w:spacing w:after="0" w:line="240" w:lineRule="auto"/>
              <w:rPr>
                <w:rFonts w:ascii="Times New Roman" w:hAnsi="Times New Roman" w:cs="Times New Roman"/>
                <w:sz w:val="18"/>
                <w:szCs w:val="18"/>
              </w:rPr>
            </w:pPr>
            <w:r w:rsidRPr="00501852">
              <w:rPr>
                <w:rFonts w:ascii="Times New Roman" w:hAnsi="Times New Roman" w:cs="Times New Roman"/>
                <w:sz w:val="18"/>
                <w:szCs w:val="18"/>
              </w:rPr>
              <w:t>Flokkur C</w:t>
            </w:r>
          </w:p>
        </w:tc>
      </w:tr>
      <w:tr w:rsidR="00783EA2" w:rsidRPr="00501852" w:rsidTr="00501852">
        <w:trPr>
          <w:trHeight w:val="449"/>
        </w:trPr>
        <w:tc>
          <w:tcPr>
            <w:tcW w:w="838" w:type="dxa"/>
          </w:tcPr>
          <w:p w:rsidR="00783EA2" w:rsidRPr="00501852" w:rsidRDefault="00783EA2" w:rsidP="00783EA2">
            <w:pPr>
              <w:pStyle w:val="Tflutexti"/>
              <w:spacing w:line="240" w:lineRule="auto"/>
              <w:rPr>
                <w:rFonts w:ascii="Times New Roman" w:hAnsi="Times New Roman" w:cs="Times New Roman"/>
                <w:sz w:val="18"/>
                <w:szCs w:val="18"/>
              </w:rPr>
            </w:pPr>
          </w:p>
        </w:tc>
        <w:tc>
          <w:tcPr>
            <w:tcW w:w="1156" w:type="dxa"/>
            <w:gridSpan w:val="2"/>
          </w:tcPr>
          <w:p w:rsidR="00783EA2" w:rsidRPr="00501852" w:rsidRDefault="00783EA2" w:rsidP="00783EA2">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Liður 4.1.6.</w:t>
            </w:r>
          </w:p>
        </w:tc>
        <w:tc>
          <w:tcPr>
            <w:tcW w:w="6380" w:type="dxa"/>
          </w:tcPr>
          <w:p w:rsidR="00783EA2" w:rsidRPr="00501852" w:rsidRDefault="00783EA2" w:rsidP="00783EA2">
            <w:pPr>
              <w:pStyle w:val="Tflutexti"/>
              <w:rPr>
                <w:rFonts w:ascii="Times New Roman" w:hAnsi="Times New Roman" w:cs="Times New Roman"/>
                <w:sz w:val="18"/>
                <w:szCs w:val="18"/>
              </w:rPr>
            </w:pPr>
            <w:r w:rsidRPr="00501852">
              <w:rPr>
                <w:rFonts w:ascii="Times New Roman" w:hAnsi="Times New Roman" w:cs="Times New Roman"/>
                <w:sz w:val="18"/>
                <w:szCs w:val="18"/>
              </w:rPr>
              <w:t>Skipulag og tímamörk greiðslu og afhendingar verðbréfa.</w:t>
            </w:r>
          </w:p>
        </w:tc>
        <w:tc>
          <w:tcPr>
            <w:tcW w:w="986" w:type="dxa"/>
          </w:tcPr>
          <w:p w:rsidR="00783EA2" w:rsidRPr="00501852" w:rsidRDefault="00783EA2" w:rsidP="00783EA2">
            <w:pPr>
              <w:pStyle w:val="Tflutexti"/>
              <w:spacing w:after="0" w:line="240" w:lineRule="auto"/>
              <w:rPr>
                <w:rFonts w:ascii="Times New Roman" w:hAnsi="Times New Roman" w:cs="Times New Roman"/>
                <w:sz w:val="18"/>
                <w:szCs w:val="18"/>
              </w:rPr>
            </w:pPr>
            <w:r w:rsidRPr="00501852">
              <w:rPr>
                <w:rFonts w:ascii="Times New Roman" w:hAnsi="Times New Roman" w:cs="Times New Roman"/>
                <w:sz w:val="18"/>
                <w:szCs w:val="18"/>
              </w:rPr>
              <w:t>Flokkur C</w:t>
            </w:r>
          </w:p>
        </w:tc>
      </w:tr>
      <w:tr w:rsidR="00783EA2" w:rsidRPr="00501852" w:rsidTr="00501852">
        <w:trPr>
          <w:trHeight w:val="449"/>
        </w:trPr>
        <w:tc>
          <w:tcPr>
            <w:tcW w:w="838" w:type="dxa"/>
          </w:tcPr>
          <w:p w:rsidR="00783EA2" w:rsidRPr="00501852" w:rsidRDefault="00783EA2" w:rsidP="00783EA2">
            <w:pPr>
              <w:pStyle w:val="Tflutexti"/>
              <w:spacing w:line="240" w:lineRule="auto"/>
              <w:rPr>
                <w:rFonts w:ascii="Times New Roman" w:hAnsi="Times New Roman" w:cs="Times New Roman"/>
                <w:sz w:val="18"/>
                <w:szCs w:val="18"/>
              </w:rPr>
            </w:pPr>
          </w:p>
        </w:tc>
        <w:tc>
          <w:tcPr>
            <w:tcW w:w="1156" w:type="dxa"/>
            <w:gridSpan w:val="2"/>
          </w:tcPr>
          <w:p w:rsidR="00783EA2" w:rsidRPr="00501852" w:rsidRDefault="00783EA2" w:rsidP="00783EA2">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Liður 4.1.7.</w:t>
            </w:r>
          </w:p>
        </w:tc>
        <w:tc>
          <w:tcPr>
            <w:tcW w:w="6380" w:type="dxa"/>
          </w:tcPr>
          <w:p w:rsidR="00783EA2" w:rsidRPr="00501852" w:rsidRDefault="00783EA2" w:rsidP="00783EA2">
            <w:pPr>
              <w:pStyle w:val="Tflutexti"/>
              <w:rPr>
                <w:rFonts w:ascii="Times New Roman" w:hAnsi="Times New Roman" w:cs="Times New Roman"/>
                <w:sz w:val="18"/>
                <w:szCs w:val="18"/>
              </w:rPr>
            </w:pPr>
            <w:r w:rsidRPr="00501852">
              <w:rPr>
                <w:rFonts w:ascii="Times New Roman" w:hAnsi="Times New Roman" w:cs="Times New Roman"/>
                <w:sz w:val="18"/>
                <w:szCs w:val="18"/>
              </w:rPr>
              <w:t>Ítarleg lýsing á því hvernig og á hvaða degi niðurstöður útboðsins verða birtar opinberlega.</w:t>
            </w:r>
          </w:p>
        </w:tc>
        <w:tc>
          <w:tcPr>
            <w:tcW w:w="986" w:type="dxa"/>
          </w:tcPr>
          <w:p w:rsidR="00783EA2" w:rsidRPr="00501852" w:rsidRDefault="00783EA2" w:rsidP="00783EA2">
            <w:pPr>
              <w:pStyle w:val="Tflutexti"/>
              <w:spacing w:after="0" w:line="240" w:lineRule="auto"/>
              <w:rPr>
                <w:rFonts w:ascii="Times New Roman" w:hAnsi="Times New Roman" w:cs="Times New Roman"/>
                <w:sz w:val="18"/>
                <w:szCs w:val="18"/>
              </w:rPr>
            </w:pPr>
            <w:r w:rsidRPr="00501852">
              <w:rPr>
                <w:rFonts w:ascii="Times New Roman" w:hAnsi="Times New Roman" w:cs="Times New Roman"/>
                <w:sz w:val="18"/>
                <w:szCs w:val="18"/>
              </w:rPr>
              <w:t>Flokkur C</w:t>
            </w:r>
          </w:p>
        </w:tc>
      </w:tr>
      <w:tr w:rsidR="00783EA2" w:rsidRPr="00501852" w:rsidTr="00501852">
        <w:trPr>
          <w:trHeight w:val="449"/>
        </w:trPr>
        <w:tc>
          <w:tcPr>
            <w:tcW w:w="838" w:type="dxa"/>
          </w:tcPr>
          <w:p w:rsidR="00783EA2" w:rsidRPr="00501852" w:rsidRDefault="00783EA2" w:rsidP="00783EA2">
            <w:pPr>
              <w:pStyle w:val="Tflutexti"/>
              <w:spacing w:line="240" w:lineRule="auto"/>
              <w:rPr>
                <w:rFonts w:ascii="Times New Roman" w:hAnsi="Times New Roman" w:cs="Times New Roman"/>
                <w:sz w:val="18"/>
                <w:szCs w:val="18"/>
              </w:rPr>
            </w:pPr>
          </w:p>
        </w:tc>
        <w:tc>
          <w:tcPr>
            <w:tcW w:w="1156" w:type="dxa"/>
            <w:gridSpan w:val="2"/>
          </w:tcPr>
          <w:p w:rsidR="00783EA2" w:rsidRPr="00501852" w:rsidRDefault="00783EA2" w:rsidP="00783EA2">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Liður 4.1.8.</w:t>
            </w:r>
          </w:p>
        </w:tc>
        <w:tc>
          <w:tcPr>
            <w:tcW w:w="6380" w:type="dxa"/>
          </w:tcPr>
          <w:p w:rsidR="00783EA2" w:rsidRPr="00501852" w:rsidRDefault="00783EA2" w:rsidP="00783EA2">
            <w:pPr>
              <w:pStyle w:val="Tflutexti"/>
              <w:rPr>
                <w:rFonts w:ascii="Times New Roman" w:hAnsi="Times New Roman" w:cs="Times New Roman"/>
                <w:sz w:val="18"/>
                <w:szCs w:val="18"/>
              </w:rPr>
            </w:pPr>
            <w:r w:rsidRPr="00501852">
              <w:rPr>
                <w:rFonts w:ascii="Times New Roman" w:hAnsi="Times New Roman" w:cs="Times New Roman"/>
                <w:sz w:val="18"/>
                <w:szCs w:val="18"/>
              </w:rPr>
              <w:t>Tilhögun við nýtingu forkaupsréttar, framsal áskriftarréttinda og hvernig farið skuli með áskriftarréttindi sem ekki eru nýtt.</w:t>
            </w:r>
          </w:p>
        </w:tc>
        <w:tc>
          <w:tcPr>
            <w:tcW w:w="986" w:type="dxa"/>
          </w:tcPr>
          <w:p w:rsidR="00783EA2" w:rsidRPr="00501852" w:rsidRDefault="00783EA2" w:rsidP="00783EA2">
            <w:pPr>
              <w:pStyle w:val="Tflutexti"/>
              <w:spacing w:after="0" w:line="240" w:lineRule="auto"/>
              <w:rPr>
                <w:rFonts w:ascii="Times New Roman" w:hAnsi="Times New Roman" w:cs="Times New Roman"/>
                <w:sz w:val="18"/>
                <w:szCs w:val="18"/>
              </w:rPr>
            </w:pPr>
            <w:r w:rsidRPr="00501852">
              <w:rPr>
                <w:rFonts w:ascii="Times New Roman" w:hAnsi="Times New Roman" w:cs="Times New Roman"/>
                <w:sz w:val="18"/>
                <w:szCs w:val="18"/>
              </w:rPr>
              <w:t>Flokkur C</w:t>
            </w:r>
          </w:p>
        </w:tc>
      </w:tr>
      <w:tr w:rsidR="00282CF3" w:rsidRPr="00501852" w:rsidTr="00501852">
        <w:trPr>
          <w:trHeight w:val="60"/>
        </w:trPr>
        <w:tc>
          <w:tcPr>
            <w:tcW w:w="838" w:type="dxa"/>
          </w:tcPr>
          <w:p w:rsidR="00282CF3" w:rsidRPr="00501852" w:rsidRDefault="00282CF3" w:rsidP="00382FD8">
            <w:pPr>
              <w:pStyle w:val="Tflutexti"/>
              <w:spacing w:line="240" w:lineRule="auto"/>
              <w:rPr>
                <w:rFonts w:ascii="Times New Roman" w:hAnsi="Times New Roman" w:cs="Times New Roman"/>
                <w:sz w:val="18"/>
                <w:szCs w:val="18"/>
              </w:rPr>
            </w:pPr>
          </w:p>
        </w:tc>
        <w:tc>
          <w:tcPr>
            <w:tcW w:w="1156" w:type="dxa"/>
            <w:gridSpan w:val="2"/>
          </w:tcPr>
          <w:p w:rsidR="00282CF3" w:rsidRPr="00501852" w:rsidRDefault="00282CF3" w:rsidP="00382FD8">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Liður 4.2.</w:t>
            </w:r>
          </w:p>
        </w:tc>
        <w:tc>
          <w:tcPr>
            <w:tcW w:w="7366" w:type="dxa"/>
            <w:gridSpan w:val="2"/>
          </w:tcPr>
          <w:p w:rsidR="00282CF3" w:rsidRPr="00501852" w:rsidRDefault="00282CF3" w:rsidP="00382FD8">
            <w:pPr>
              <w:pStyle w:val="Tflutexti"/>
              <w:spacing w:after="0" w:line="240" w:lineRule="auto"/>
              <w:rPr>
                <w:rFonts w:ascii="Times New Roman" w:hAnsi="Times New Roman" w:cs="Times New Roman"/>
                <w:sz w:val="18"/>
                <w:szCs w:val="18"/>
              </w:rPr>
            </w:pPr>
            <w:r w:rsidRPr="00501852">
              <w:rPr>
                <w:rFonts w:ascii="Times New Roman" w:hAnsi="Times New Roman" w:cs="Times New Roman"/>
                <w:sz w:val="18"/>
                <w:szCs w:val="18"/>
              </w:rPr>
              <w:t>Skipulag dreifingar og úthlutunar</w:t>
            </w:r>
          </w:p>
        </w:tc>
      </w:tr>
      <w:tr w:rsidR="00282CF3" w:rsidRPr="00501852" w:rsidTr="00501852">
        <w:trPr>
          <w:trHeight w:val="449"/>
        </w:trPr>
        <w:tc>
          <w:tcPr>
            <w:tcW w:w="838" w:type="dxa"/>
          </w:tcPr>
          <w:p w:rsidR="00282CF3" w:rsidRPr="00501852" w:rsidRDefault="00282CF3" w:rsidP="00382FD8">
            <w:pPr>
              <w:pStyle w:val="Tflutexti"/>
              <w:spacing w:line="240" w:lineRule="auto"/>
              <w:rPr>
                <w:rFonts w:ascii="Times New Roman" w:hAnsi="Times New Roman" w:cs="Times New Roman"/>
                <w:sz w:val="18"/>
                <w:szCs w:val="18"/>
              </w:rPr>
            </w:pPr>
          </w:p>
        </w:tc>
        <w:tc>
          <w:tcPr>
            <w:tcW w:w="1156" w:type="dxa"/>
            <w:gridSpan w:val="2"/>
          </w:tcPr>
          <w:p w:rsidR="00282CF3" w:rsidRPr="00501852" w:rsidRDefault="00282CF3" w:rsidP="00382FD8">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Liður 4.2.1.</w:t>
            </w:r>
          </w:p>
        </w:tc>
        <w:tc>
          <w:tcPr>
            <w:tcW w:w="6380" w:type="dxa"/>
          </w:tcPr>
          <w:p w:rsidR="00282CF3" w:rsidRPr="00501852" w:rsidRDefault="00282CF3" w:rsidP="00382FD8">
            <w:pPr>
              <w:pStyle w:val="Tflutexti"/>
              <w:rPr>
                <w:rFonts w:ascii="Times New Roman" w:hAnsi="Times New Roman" w:cs="Times New Roman"/>
                <w:sz w:val="18"/>
                <w:szCs w:val="18"/>
              </w:rPr>
            </w:pPr>
            <w:r w:rsidRPr="00501852">
              <w:rPr>
                <w:rFonts w:ascii="Times New Roman" w:hAnsi="Times New Roman" w:cs="Times New Roman"/>
                <w:sz w:val="18"/>
                <w:szCs w:val="18"/>
              </w:rPr>
              <w:t>Mismunandi flokkar mögulegra fjárfesta sem verðbréfin eru boðin.</w:t>
            </w:r>
          </w:p>
          <w:p w:rsidR="00282CF3" w:rsidRPr="00501852" w:rsidRDefault="00282CF3" w:rsidP="00382FD8">
            <w:pPr>
              <w:pStyle w:val="Tflutexti"/>
              <w:rPr>
                <w:rFonts w:ascii="Times New Roman" w:hAnsi="Times New Roman" w:cs="Times New Roman"/>
                <w:sz w:val="18"/>
                <w:szCs w:val="18"/>
              </w:rPr>
            </w:pPr>
            <w:r w:rsidRPr="00501852">
              <w:rPr>
                <w:rFonts w:ascii="Times New Roman" w:hAnsi="Times New Roman" w:cs="Times New Roman"/>
                <w:sz w:val="18"/>
                <w:szCs w:val="18"/>
              </w:rPr>
              <w:t>Fari útboð fram samtímis á mörkuðum í tveimur eða fleiri löndum og ef ákveðinn hluti þess hefur verið tekinn frá eða er tekinn frá fyrir einhverja af þessum mörkuðum skulu allir slíkir hlutar tilgreindir.</w:t>
            </w:r>
          </w:p>
        </w:tc>
        <w:tc>
          <w:tcPr>
            <w:tcW w:w="986" w:type="dxa"/>
          </w:tcPr>
          <w:p w:rsidR="00282CF3" w:rsidRPr="00501852" w:rsidRDefault="00282CF3" w:rsidP="00382FD8">
            <w:pPr>
              <w:pStyle w:val="Tflutexti"/>
              <w:spacing w:after="0" w:line="240" w:lineRule="auto"/>
              <w:rPr>
                <w:rFonts w:ascii="Times New Roman" w:hAnsi="Times New Roman" w:cs="Times New Roman"/>
                <w:sz w:val="18"/>
                <w:szCs w:val="18"/>
              </w:rPr>
            </w:pPr>
            <w:r w:rsidRPr="00501852">
              <w:rPr>
                <w:rFonts w:ascii="Times New Roman" w:hAnsi="Times New Roman" w:cs="Times New Roman"/>
                <w:sz w:val="18"/>
                <w:szCs w:val="18"/>
              </w:rPr>
              <w:t>Flokkur C</w:t>
            </w:r>
          </w:p>
        </w:tc>
      </w:tr>
      <w:tr w:rsidR="002341B5" w:rsidRPr="00501852" w:rsidTr="00501852">
        <w:trPr>
          <w:trHeight w:val="449"/>
        </w:trPr>
        <w:tc>
          <w:tcPr>
            <w:tcW w:w="845" w:type="dxa"/>
            <w:gridSpan w:val="2"/>
          </w:tcPr>
          <w:p w:rsidR="002341B5" w:rsidRPr="00501852" w:rsidRDefault="002341B5" w:rsidP="002341B5">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br w:type="page"/>
            </w:r>
          </w:p>
        </w:tc>
        <w:tc>
          <w:tcPr>
            <w:tcW w:w="1149" w:type="dxa"/>
          </w:tcPr>
          <w:p w:rsidR="002341B5" w:rsidRPr="00501852" w:rsidRDefault="002341B5" w:rsidP="002341B5">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Liður 4.3.</w:t>
            </w:r>
          </w:p>
        </w:tc>
        <w:tc>
          <w:tcPr>
            <w:tcW w:w="6380" w:type="dxa"/>
          </w:tcPr>
          <w:p w:rsidR="002341B5" w:rsidRPr="00501852" w:rsidRDefault="002341B5" w:rsidP="002341B5">
            <w:pPr>
              <w:pStyle w:val="Tflutexti"/>
              <w:rPr>
                <w:rFonts w:ascii="Times New Roman" w:hAnsi="Times New Roman" w:cs="Times New Roman"/>
                <w:sz w:val="18"/>
                <w:szCs w:val="18"/>
              </w:rPr>
            </w:pPr>
            <w:r w:rsidRPr="00501852">
              <w:rPr>
                <w:rFonts w:ascii="Times New Roman" w:hAnsi="Times New Roman" w:cs="Times New Roman"/>
                <w:sz w:val="18"/>
                <w:szCs w:val="18"/>
              </w:rPr>
              <w:t>Ferli til að tilkynna umsækjendum um úthlutaða fjárhæð og tilgreining þess hvort viðskipti mega hefjast áður en tilkynning berst þeim.</w:t>
            </w:r>
          </w:p>
        </w:tc>
        <w:tc>
          <w:tcPr>
            <w:tcW w:w="986" w:type="dxa"/>
          </w:tcPr>
          <w:p w:rsidR="002341B5" w:rsidRPr="00501852" w:rsidRDefault="002341B5" w:rsidP="002341B5">
            <w:pPr>
              <w:pStyle w:val="Tflutexti"/>
              <w:spacing w:after="0" w:line="240" w:lineRule="auto"/>
              <w:rPr>
                <w:rFonts w:ascii="Times New Roman" w:hAnsi="Times New Roman" w:cs="Times New Roman"/>
                <w:sz w:val="18"/>
                <w:szCs w:val="18"/>
              </w:rPr>
            </w:pPr>
            <w:r w:rsidRPr="00501852">
              <w:rPr>
                <w:rFonts w:ascii="Times New Roman" w:hAnsi="Times New Roman" w:cs="Times New Roman"/>
                <w:sz w:val="18"/>
                <w:szCs w:val="18"/>
              </w:rPr>
              <w:t>Flokkur C</w:t>
            </w:r>
          </w:p>
        </w:tc>
      </w:tr>
      <w:tr w:rsidR="006F4DC8" w:rsidRPr="00501852" w:rsidTr="00501852">
        <w:trPr>
          <w:trHeight w:val="449"/>
        </w:trPr>
        <w:tc>
          <w:tcPr>
            <w:tcW w:w="845" w:type="dxa"/>
            <w:gridSpan w:val="2"/>
          </w:tcPr>
          <w:p w:rsidR="006F4DC8" w:rsidRPr="00501852" w:rsidRDefault="006F4DC8" w:rsidP="00783EA2">
            <w:pPr>
              <w:pStyle w:val="Tflutexti"/>
              <w:spacing w:line="240" w:lineRule="auto"/>
              <w:rPr>
                <w:rFonts w:ascii="Times New Roman" w:hAnsi="Times New Roman" w:cs="Times New Roman"/>
                <w:sz w:val="18"/>
                <w:szCs w:val="18"/>
              </w:rPr>
            </w:pPr>
          </w:p>
        </w:tc>
        <w:tc>
          <w:tcPr>
            <w:tcW w:w="1149" w:type="dxa"/>
          </w:tcPr>
          <w:p w:rsidR="006F4DC8" w:rsidRPr="00501852" w:rsidRDefault="006F4DC8" w:rsidP="00783EA2">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Liður 4.4.</w:t>
            </w:r>
          </w:p>
        </w:tc>
        <w:tc>
          <w:tcPr>
            <w:tcW w:w="7366" w:type="dxa"/>
            <w:gridSpan w:val="2"/>
          </w:tcPr>
          <w:p w:rsidR="006F4DC8" w:rsidRPr="00501852" w:rsidRDefault="006F4DC8" w:rsidP="00783EA2">
            <w:pPr>
              <w:pStyle w:val="Tflutexti"/>
              <w:spacing w:after="0" w:line="240" w:lineRule="auto"/>
              <w:rPr>
                <w:rFonts w:ascii="Times New Roman" w:hAnsi="Times New Roman" w:cs="Times New Roman"/>
                <w:sz w:val="18"/>
                <w:szCs w:val="18"/>
              </w:rPr>
            </w:pPr>
            <w:r w:rsidRPr="00501852">
              <w:rPr>
                <w:rFonts w:ascii="Times New Roman" w:hAnsi="Times New Roman" w:cs="Times New Roman"/>
                <w:sz w:val="18"/>
                <w:szCs w:val="18"/>
              </w:rPr>
              <w:t>Verðlagning</w:t>
            </w:r>
          </w:p>
        </w:tc>
      </w:tr>
      <w:tr w:rsidR="00CE7864" w:rsidRPr="00501852" w:rsidTr="00501852">
        <w:trPr>
          <w:trHeight w:val="449"/>
        </w:trPr>
        <w:tc>
          <w:tcPr>
            <w:tcW w:w="845" w:type="dxa"/>
            <w:gridSpan w:val="2"/>
          </w:tcPr>
          <w:p w:rsidR="00CE7864" w:rsidRPr="00501852" w:rsidRDefault="00CE7864" w:rsidP="00783EA2">
            <w:pPr>
              <w:pStyle w:val="Tflutexti"/>
              <w:spacing w:line="240" w:lineRule="auto"/>
              <w:rPr>
                <w:rFonts w:ascii="Times New Roman" w:hAnsi="Times New Roman" w:cs="Times New Roman"/>
                <w:sz w:val="18"/>
                <w:szCs w:val="18"/>
              </w:rPr>
            </w:pPr>
          </w:p>
        </w:tc>
        <w:tc>
          <w:tcPr>
            <w:tcW w:w="1149" w:type="dxa"/>
          </w:tcPr>
          <w:p w:rsidR="00CE7864" w:rsidRPr="00501852" w:rsidRDefault="00CE7864" w:rsidP="00783EA2">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Liður 4.4.</w:t>
            </w:r>
            <w:r w:rsidR="00A0734C" w:rsidRPr="00501852">
              <w:rPr>
                <w:rFonts w:ascii="Times New Roman" w:hAnsi="Times New Roman" w:cs="Times New Roman"/>
                <w:sz w:val="18"/>
                <w:szCs w:val="18"/>
              </w:rPr>
              <w:t>1.</w:t>
            </w:r>
          </w:p>
        </w:tc>
        <w:tc>
          <w:tcPr>
            <w:tcW w:w="6380" w:type="dxa"/>
          </w:tcPr>
          <w:p w:rsidR="00CE7864" w:rsidRPr="00501852" w:rsidRDefault="00A0734C" w:rsidP="00CE7864">
            <w:pPr>
              <w:pStyle w:val="Tflutexti"/>
              <w:rPr>
                <w:rFonts w:ascii="Times New Roman" w:hAnsi="Times New Roman" w:cs="Times New Roman"/>
                <w:sz w:val="18"/>
                <w:szCs w:val="18"/>
              </w:rPr>
            </w:pPr>
            <w:r w:rsidRPr="00501852">
              <w:rPr>
                <w:rFonts w:ascii="Times New Roman" w:hAnsi="Times New Roman" w:cs="Times New Roman"/>
                <w:sz w:val="18"/>
                <w:szCs w:val="18"/>
              </w:rPr>
              <w:t>Tilgreina skal verðið sem fyrirhugað er að bjóða verðbréfin á.</w:t>
            </w:r>
          </w:p>
        </w:tc>
        <w:tc>
          <w:tcPr>
            <w:tcW w:w="986" w:type="dxa"/>
          </w:tcPr>
          <w:p w:rsidR="00CE7864" w:rsidRPr="00501852" w:rsidRDefault="00A0734C" w:rsidP="00783EA2">
            <w:pPr>
              <w:pStyle w:val="Tflutexti"/>
              <w:spacing w:after="0" w:line="240" w:lineRule="auto"/>
              <w:rPr>
                <w:rFonts w:ascii="Times New Roman" w:hAnsi="Times New Roman" w:cs="Times New Roman"/>
                <w:sz w:val="18"/>
                <w:szCs w:val="18"/>
              </w:rPr>
            </w:pPr>
            <w:r w:rsidRPr="00501852">
              <w:rPr>
                <w:rFonts w:ascii="Times New Roman" w:hAnsi="Times New Roman" w:cs="Times New Roman"/>
                <w:sz w:val="18"/>
                <w:szCs w:val="18"/>
              </w:rPr>
              <w:t>Flokkur C</w:t>
            </w:r>
          </w:p>
        </w:tc>
      </w:tr>
      <w:tr w:rsidR="00A0734C" w:rsidRPr="00501852" w:rsidTr="00501852">
        <w:trPr>
          <w:trHeight w:val="449"/>
        </w:trPr>
        <w:tc>
          <w:tcPr>
            <w:tcW w:w="845" w:type="dxa"/>
            <w:gridSpan w:val="2"/>
          </w:tcPr>
          <w:p w:rsidR="00A0734C" w:rsidRPr="00501852" w:rsidRDefault="00A0734C" w:rsidP="00A0734C">
            <w:pPr>
              <w:pStyle w:val="Tflutexti"/>
              <w:spacing w:line="240" w:lineRule="auto"/>
              <w:rPr>
                <w:rFonts w:ascii="Times New Roman" w:hAnsi="Times New Roman" w:cs="Times New Roman"/>
                <w:sz w:val="18"/>
                <w:szCs w:val="18"/>
              </w:rPr>
            </w:pPr>
          </w:p>
        </w:tc>
        <w:tc>
          <w:tcPr>
            <w:tcW w:w="1149" w:type="dxa"/>
          </w:tcPr>
          <w:p w:rsidR="00A0734C" w:rsidRPr="00501852" w:rsidRDefault="00A0734C" w:rsidP="00A0734C">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Liður 4.4.2.</w:t>
            </w:r>
          </w:p>
        </w:tc>
        <w:tc>
          <w:tcPr>
            <w:tcW w:w="6380" w:type="dxa"/>
          </w:tcPr>
          <w:p w:rsidR="00A0734C" w:rsidRPr="00501852" w:rsidRDefault="00A0734C" w:rsidP="00A0734C">
            <w:pPr>
              <w:pStyle w:val="Tflutexti"/>
              <w:rPr>
                <w:rFonts w:ascii="Times New Roman" w:hAnsi="Times New Roman" w:cs="Times New Roman"/>
                <w:sz w:val="18"/>
                <w:szCs w:val="18"/>
              </w:rPr>
            </w:pPr>
            <w:r w:rsidRPr="00501852">
              <w:rPr>
                <w:rFonts w:ascii="Times New Roman" w:hAnsi="Times New Roman" w:cs="Times New Roman"/>
                <w:sz w:val="18"/>
                <w:szCs w:val="18"/>
              </w:rPr>
              <w:t>Annar valkostur en í lið 4.4.1 er að lýsa aðferðinni sem notuð er til að ákvarða verðið, skv. 17. gr. reglugerðar (ESB) 2017/1129, og ferlinu við birtingu þess.</w:t>
            </w:r>
          </w:p>
        </w:tc>
        <w:tc>
          <w:tcPr>
            <w:tcW w:w="986" w:type="dxa"/>
          </w:tcPr>
          <w:p w:rsidR="00A0734C" w:rsidRPr="00501852" w:rsidRDefault="00A0734C" w:rsidP="00A0734C">
            <w:pPr>
              <w:pStyle w:val="Tflutexti"/>
              <w:spacing w:after="0" w:line="240" w:lineRule="auto"/>
              <w:rPr>
                <w:rFonts w:ascii="Times New Roman" w:hAnsi="Times New Roman" w:cs="Times New Roman"/>
                <w:sz w:val="18"/>
                <w:szCs w:val="18"/>
              </w:rPr>
            </w:pPr>
            <w:r w:rsidRPr="00501852">
              <w:rPr>
                <w:rFonts w:ascii="Times New Roman" w:hAnsi="Times New Roman" w:cs="Times New Roman"/>
                <w:sz w:val="18"/>
                <w:szCs w:val="18"/>
              </w:rPr>
              <w:t>Flokkur B</w:t>
            </w:r>
          </w:p>
        </w:tc>
      </w:tr>
      <w:tr w:rsidR="00A0734C" w:rsidRPr="00501852" w:rsidTr="00501852">
        <w:trPr>
          <w:trHeight w:val="449"/>
        </w:trPr>
        <w:tc>
          <w:tcPr>
            <w:tcW w:w="845" w:type="dxa"/>
            <w:gridSpan w:val="2"/>
          </w:tcPr>
          <w:p w:rsidR="00A0734C" w:rsidRPr="00501852" w:rsidRDefault="00A0734C" w:rsidP="00A0734C">
            <w:pPr>
              <w:pStyle w:val="Tflutexti"/>
              <w:spacing w:line="240" w:lineRule="auto"/>
              <w:rPr>
                <w:rFonts w:ascii="Times New Roman" w:hAnsi="Times New Roman" w:cs="Times New Roman"/>
                <w:sz w:val="18"/>
                <w:szCs w:val="18"/>
              </w:rPr>
            </w:pPr>
          </w:p>
        </w:tc>
        <w:tc>
          <w:tcPr>
            <w:tcW w:w="1149" w:type="dxa"/>
          </w:tcPr>
          <w:p w:rsidR="00A0734C" w:rsidRPr="00501852" w:rsidRDefault="00A0734C" w:rsidP="00A0734C">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Liður 4.4.3.</w:t>
            </w:r>
          </w:p>
        </w:tc>
        <w:tc>
          <w:tcPr>
            <w:tcW w:w="6380" w:type="dxa"/>
          </w:tcPr>
          <w:p w:rsidR="00A0734C" w:rsidRPr="00501852" w:rsidRDefault="00A0734C" w:rsidP="00A0734C">
            <w:pPr>
              <w:pStyle w:val="Tflutexti"/>
              <w:rPr>
                <w:rFonts w:ascii="Times New Roman" w:hAnsi="Times New Roman" w:cs="Times New Roman"/>
                <w:sz w:val="18"/>
                <w:szCs w:val="18"/>
              </w:rPr>
            </w:pPr>
            <w:r w:rsidRPr="00501852">
              <w:rPr>
                <w:rFonts w:ascii="Times New Roman" w:hAnsi="Times New Roman" w:cs="Times New Roman"/>
                <w:sz w:val="18"/>
                <w:szCs w:val="18"/>
              </w:rPr>
              <w:t>Tilgreina skal fjárhæð allra útgjalda og skatta sem áskrifandi eða kaupandi þarf að greiða. Falli útgefandi undir reglugerð (ESB) nr. 1286/2014 og/eða tilskipun 2014/65/ESB, og að því marki sem þau eru þekkt, skal tilgreina þau útgjöld sem eru innifalin í verðinu.</w:t>
            </w:r>
          </w:p>
        </w:tc>
        <w:tc>
          <w:tcPr>
            <w:tcW w:w="986" w:type="dxa"/>
          </w:tcPr>
          <w:p w:rsidR="00A0734C" w:rsidRPr="00501852" w:rsidRDefault="00A0734C" w:rsidP="00A0734C">
            <w:pPr>
              <w:pStyle w:val="Tflutexti"/>
              <w:spacing w:after="0" w:line="240" w:lineRule="auto"/>
              <w:rPr>
                <w:rFonts w:ascii="Times New Roman" w:hAnsi="Times New Roman" w:cs="Times New Roman"/>
                <w:sz w:val="18"/>
                <w:szCs w:val="18"/>
              </w:rPr>
            </w:pPr>
            <w:r w:rsidRPr="00501852">
              <w:rPr>
                <w:rFonts w:ascii="Times New Roman" w:hAnsi="Times New Roman" w:cs="Times New Roman"/>
                <w:sz w:val="18"/>
                <w:szCs w:val="18"/>
              </w:rPr>
              <w:t>Flokkur C</w:t>
            </w:r>
          </w:p>
        </w:tc>
      </w:tr>
      <w:tr w:rsidR="006F4DC8" w:rsidRPr="00501852" w:rsidTr="00501852">
        <w:trPr>
          <w:trHeight w:val="449"/>
        </w:trPr>
        <w:tc>
          <w:tcPr>
            <w:tcW w:w="845" w:type="dxa"/>
            <w:gridSpan w:val="2"/>
          </w:tcPr>
          <w:p w:rsidR="006F4DC8" w:rsidRPr="00501852" w:rsidRDefault="006F4DC8" w:rsidP="00A0734C">
            <w:pPr>
              <w:pStyle w:val="Tflutexti"/>
              <w:spacing w:line="240" w:lineRule="auto"/>
              <w:rPr>
                <w:rFonts w:ascii="Times New Roman" w:hAnsi="Times New Roman" w:cs="Times New Roman"/>
                <w:sz w:val="18"/>
                <w:szCs w:val="18"/>
              </w:rPr>
            </w:pPr>
          </w:p>
        </w:tc>
        <w:tc>
          <w:tcPr>
            <w:tcW w:w="1149" w:type="dxa"/>
          </w:tcPr>
          <w:p w:rsidR="006F4DC8" w:rsidRPr="00501852" w:rsidRDefault="006F4DC8" w:rsidP="00A0734C">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Liður 4.5.</w:t>
            </w:r>
          </w:p>
        </w:tc>
        <w:tc>
          <w:tcPr>
            <w:tcW w:w="7366" w:type="dxa"/>
            <w:gridSpan w:val="2"/>
          </w:tcPr>
          <w:p w:rsidR="006F4DC8" w:rsidRPr="00501852" w:rsidRDefault="006F4DC8" w:rsidP="00A0734C">
            <w:pPr>
              <w:pStyle w:val="Tflutexti"/>
              <w:spacing w:after="0" w:line="240" w:lineRule="auto"/>
              <w:rPr>
                <w:rFonts w:ascii="Times New Roman" w:hAnsi="Times New Roman" w:cs="Times New Roman"/>
                <w:sz w:val="18"/>
                <w:szCs w:val="18"/>
              </w:rPr>
            </w:pPr>
            <w:r w:rsidRPr="00501852">
              <w:rPr>
                <w:rFonts w:ascii="Times New Roman" w:hAnsi="Times New Roman" w:cs="Times New Roman"/>
                <w:sz w:val="18"/>
                <w:szCs w:val="18"/>
              </w:rPr>
              <w:t>Setning á markað og sölutrygging</w:t>
            </w:r>
          </w:p>
        </w:tc>
      </w:tr>
      <w:tr w:rsidR="00A0734C" w:rsidRPr="00501852" w:rsidTr="00501852">
        <w:trPr>
          <w:trHeight w:val="449"/>
        </w:trPr>
        <w:tc>
          <w:tcPr>
            <w:tcW w:w="845" w:type="dxa"/>
            <w:gridSpan w:val="2"/>
          </w:tcPr>
          <w:p w:rsidR="00A0734C" w:rsidRPr="00501852" w:rsidRDefault="00A0734C" w:rsidP="00A0734C">
            <w:pPr>
              <w:pStyle w:val="Tflutexti"/>
              <w:spacing w:line="240" w:lineRule="auto"/>
              <w:rPr>
                <w:rFonts w:ascii="Times New Roman" w:hAnsi="Times New Roman" w:cs="Times New Roman"/>
                <w:sz w:val="18"/>
                <w:szCs w:val="18"/>
              </w:rPr>
            </w:pPr>
          </w:p>
        </w:tc>
        <w:tc>
          <w:tcPr>
            <w:tcW w:w="1149" w:type="dxa"/>
          </w:tcPr>
          <w:p w:rsidR="00A0734C" w:rsidRPr="00501852" w:rsidRDefault="00A0734C" w:rsidP="00A0734C">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Liður 4.5.1.</w:t>
            </w:r>
          </w:p>
        </w:tc>
        <w:tc>
          <w:tcPr>
            <w:tcW w:w="6380" w:type="dxa"/>
          </w:tcPr>
          <w:p w:rsidR="00A0734C" w:rsidRPr="00501852" w:rsidRDefault="00A0734C" w:rsidP="00A0734C">
            <w:pPr>
              <w:pStyle w:val="Tflutexti"/>
              <w:rPr>
                <w:rFonts w:ascii="Times New Roman" w:hAnsi="Times New Roman" w:cs="Times New Roman"/>
                <w:sz w:val="18"/>
                <w:szCs w:val="18"/>
              </w:rPr>
            </w:pPr>
            <w:r w:rsidRPr="00501852">
              <w:rPr>
                <w:rFonts w:ascii="Times New Roman" w:hAnsi="Times New Roman" w:cs="Times New Roman"/>
                <w:sz w:val="18"/>
                <w:szCs w:val="18"/>
              </w:rPr>
              <w:t>Nafn og heimilisfang þess eða þeirra sem hafa umsjón með heildarútboðinu eða einstaka hlutum þess og, að því marki sem útgefanda eða tilboðsgjafa er kunnugt um, þeirra sem setja verðbréfin á markað í þeim ýmsu löndum þar sem útboðið fer fram.</w:t>
            </w:r>
          </w:p>
        </w:tc>
        <w:tc>
          <w:tcPr>
            <w:tcW w:w="986" w:type="dxa"/>
          </w:tcPr>
          <w:p w:rsidR="00A0734C" w:rsidRPr="00501852" w:rsidRDefault="00A0734C" w:rsidP="00A0734C">
            <w:pPr>
              <w:pStyle w:val="Tflutexti"/>
              <w:spacing w:after="0" w:line="240" w:lineRule="auto"/>
              <w:rPr>
                <w:rFonts w:ascii="Times New Roman" w:hAnsi="Times New Roman" w:cs="Times New Roman"/>
                <w:sz w:val="18"/>
                <w:szCs w:val="18"/>
              </w:rPr>
            </w:pPr>
            <w:r w:rsidRPr="00501852">
              <w:rPr>
                <w:rFonts w:ascii="Times New Roman" w:hAnsi="Times New Roman" w:cs="Times New Roman"/>
                <w:sz w:val="18"/>
                <w:szCs w:val="18"/>
              </w:rPr>
              <w:t>Flokkur C</w:t>
            </w:r>
          </w:p>
        </w:tc>
      </w:tr>
      <w:tr w:rsidR="00A0734C" w:rsidRPr="00501852" w:rsidTr="00501852">
        <w:trPr>
          <w:trHeight w:val="449"/>
        </w:trPr>
        <w:tc>
          <w:tcPr>
            <w:tcW w:w="845" w:type="dxa"/>
            <w:gridSpan w:val="2"/>
          </w:tcPr>
          <w:p w:rsidR="00A0734C" w:rsidRPr="00501852" w:rsidRDefault="00A0734C" w:rsidP="00A0734C">
            <w:pPr>
              <w:pStyle w:val="Tflutexti"/>
              <w:spacing w:line="240" w:lineRule="auto"/>
              <w:rPr>
                <w:rFonts w:ascii="Times New Roman" w:hAnsi="Times New Roman" w:cs="Times New Roman"/>
                <w:sz w:val="18"/>
                <w:szCs w:val="18"/>
              </w:rPr>
            </w:pPr>
          </w:p>
        </w:tc>
        <w:tc>
          <w:tcPr>
            <w:tcW w:w="1149" w:type="dxa"/>
          </w:tcPr>
          <w:p w:rsidR="00A0734C" w:rsidRPr="00501852" w:rsidRDefault="00A0734C" w:rsidP="00A0734C">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Liður 4.5.2.</w:t>
            </w:r>
          </w:p>
        </w:tc>
        <w:tc>
          <w:tcPr>
            <w:tcW w:w="6380" w:type="dxa"/>
          </w:tcPr>
          <w:p w:rsidR="00A0734C" w:rsidRPr="00501852" w:rsidRDefault="00A0734C" w:rsidP="00A0734C">
            <w:pPr>
              <w:pStyle w:val="Tflutexti"/>
              <w:rPr>
                <w:rFonts w:ascii="Times New Roman" w:hAnsi="Times New Roman" w:cs="Times New Roman"/>
                <w:sz w:val="18"/>
                <w:szCs w:val="18"/>
              </w:rPr>
            </w:pPr>
            <w:r w:rsidRPr="00501852">
              <w:rPr>
                <w:rFonts w:ascii="Times New Roman" w:hAnsi="Times New Roman" w:cs="Times New Roman"/>
                <w:sz w:val="18"/>
                <w:szCs w:val="18"/>
              </w:rPr>
              <w:t>Nafn og heimilisfang þeirra aðila sem annast greiðslur og vörsluaðila í hverju landi fyrir sig.</w:t>
            </w:r>
          </w:p>
        </w:tc>
        <w:tc>
          <w:tcPr>
            <w:tcW w:w="986" w:type="dxa"/>
          </w:tcPr>
          <w:p w:rsidR="00A0734C" w:rsidRPr="00501852" w:rsidRDefault="00A0734C" w:rsidP="00A0734C">
            <w:pPr>
              <w:pStyle w:val="Tflutexti"/>
              <w:spacing w:after="0" w:line="240" w:lineRule="auto"/>
              <w:rPr>
                <w:rFonts w:ascii="Times New Roman" w:hAnsi="Times New Roman" w:cs="Times New Roman"/>
                <w:sz w:val="18"/>
                <w:szCs w:val="18"/>
              </w:rPr>
            </w:pPr>
            <w:r w:rsidRPr="00501852">
              <w:rPr>
                <w:rFonts w:ascii="Times New Roman" w:hAnsi="Times New Roman" w:cs="Times New Roman"/>
                <w:sz w:val="18"/>
                <w:szCs w:val="18"/>
              </w:rPr>
              <w:t>Flokkur C</w:t>
            </w:r>
          </w:p>
        </w:tc>
      </w:tr>
      <w:tr w:rsidR="00A0734C" w:rsidRPr="00501852" w:rsidTr="00501852">
        <w:trPr>
          <w:trHeight w:val="449"/>
        </w:trPr>
        <w:tc>
          <w:tcPr>
            <w:tcW w:w="845" w:type="dxa"/>
            <w:gridSpan w:val="2"/>
          </w:tcPr>
          <w:p w:rsidR="00A0734C" w:rsidRPr="00501852" w:rsidRDefault="00A0734C" w:rsidP="00A0734C">
            <w:pPr>
              <w:pStyle w:val="Tflutexti"/>
              <w:spacing w:line="240" w:lineRule="auto"/>
              <w:rPr>
                <w:rFonts w:ascii="Times New Roman" w:hAnsi="Times New Roman" w:cs="Times New Roman"/>
                <w:sz w:val="18"/>
                <w:szCs w:val="18"/>
              </w:rPr>
            </w:pPr>
          </w:p>
        </w:tc>
        <w:tc>
          <w:tcPr>
            <w:tcW w:w="1149" w:type="dxa"/>
          </w:tcPr>
          <w:p w:rsidR="00A0734C" w:rsidRPr="00501852" w:rsidRDefault="00A0734C" w:rsidP="00A0734C">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Liður 4.5.3.</w:t>
            </w:r>
          </w:p>
        </w:tc>
        <w:tc>
          <w:tcPr>
            <w:tcW w:w="6380" w:type="dxa"/>
          </w:tcPr>
          <w:p w:rsidR="00A0734C" w:rsidRPr="00501852" w:rsidRDefault="006F4DC8" w:rsidP="006F4DC8">
            <w:pPr>
              <w:pStyle w:val="Tflutexti"/>
              <w:rPr>
                <w:rFonts w:ascii="Times New Roman" w:hAnsi="Times New Roman" w:cs="Times New Roman"/>
                <w:sz w:val="18"/>
                <w:szCs w:val="18"/>
              </w:rPr>
            </w:pPr>
            <w:r w:rsidRPr="00501852">
              <w:rPr>
                <w:rFonts w:ascii="Times New Roman" w:hAnsi="Times New Roman" w:cs="Times New Roman"/>
                <w:sz w:val="18"/>
                <w:szCs w:val="18"/>
              </w:rPr>
              <w:t>Nöfn og heimilisföng aðila sem hafa samþykkt með bindandi samkomulagi að sölutryggja útgáfuna og nöfn og heimilisföng aðila sem hafa samþykkt að setja útgáfuna á markað án bindandi samkomulags eða eftir bestu getu. Upplýsingar um mikilvæga eiginleika samninganna, þ.m.t. hve stóran hluta hver hefur til sölu. Sé útgáfan ekki öll sölutryggð skal tilgreina þann hluta sem sölutrygging nær ekki til. Upplýsa skal um heildarþóknanir fyrir sölutryggingu og setningu á markað.</w:t>
            </w:r>
          </w:p>
        </w:tc>
        <w:tc>
          <w:tcPr>
            <w:tcW w:w="986" w:type="dxa"/>
          </w:tcPr>
          <w:p w:rsidR="00A0734C" w:rsidRPr="00501852" w:rsidRDefault="006F4DC8" w:rsidP="00A0734C">
            <w:pPr>
              <w:pStyle w:val="Tflutexti"/>
              <w:spacing w:after="0" w:line="240" w:lineRule="auto"/>
              <w:rPr>
                <w:rFonts w:ascii="Times New Roman" w:hAnsi="Times New Roman" w:cs="Times New Roman"/>
                <w:sz w:val="18"/>
                <w:szCs w:val="18"/>
              </w:rPr>
            </w:pPr>
            <w:r w:rsidRPr="00501852">
              <w:rPr>
                <w:rFonts w:ascii="Times New Roman" w:hAnsi="Times New Roman" w:cs="Times New Roman"/>
                <w:sz w:val="18"/>
                <w:szCs w:val="18"/>
              </w:rPr>
              <w:t>Flokkur C</w:t>
            </w:r>
          </w:p>
        </w:tc>
      </w:tr>
      <w:tr w:rsidR="006F4DC8" w:rsidRPr="00501852" w:rsidTr="00501852">
        <w:trPr>
          <w:trHeight w:val="449"/>
        </w:trPr>
        <w:tc>
          <w:tcPr>
            <w:tcW w:w="845" w:type="dxa"/>
            <w:gridSpan w:val="2"/>
          </w:tcPr>
          <w:p w:rsidR="006F4DC8" w:rsidRPr="00501852" w:rsidRDefault="006F4DC8" w:rsidP="006F4DC8">
            <w:pPr>
              <w:pStyle w:val="Tflutexti"/>
              <w:spacing w:line="240" w:lineRule="auto"/>
              <w:rPr>
                <w:rFonts w:ascii="Times New Roman" w:hAnsi="Times New Roman" w:cs="Times New Roman"/>
                <w:sz w:val="18"/>
                <w:szCs w:val="18"/>
              </w:rPr>
            </w:pPr>
          </w:p>
        </w:tc>
        <w:tc>
          <w:tcPr>
            <w:tcW w:w="1149" w:type="dxa"/>
          </w:tcPr>
          <w:p w:rsidR="006F4DC8" w:rsidRPr="00501852" w:rsidRDefault="006F4DC8" w:rsidP="006F4DC8">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Liður 4.5.4.</w:t>
            </w:r>
          </w:p>
        </w:tc>
        <w:tc>
          <w:tcPr>
            <w:tcW w:w="6380" w:type="dxa"/>
          </w:tcPr>
          <w:p w:rsidR="006F4DC8" w:rsidRPr="00501852" w:rsidRDefault="006F4DC8" w:rsidP="006F4DC8">
            <w:pPr>
              <w:pStyle w:val="Tflutexti"/>
              <w:rPr>
                <w:rFonts w:ascii="Times New Roman" w:hAnsi="Times New Roman" w:cs="Times New Roman"/>
                <w:sz w:val="18"/>
                <w:szCs w:val="18"/>
              </w:rPr>
            </w:pPr>
            <w:r w:rsidRPr="00501852">
              <w:rPr>
                <w:rFonts w:ascii="Times New Roman" w:hAnsi="Times New Roman" w:cs="Times New Roman"/>
                <w:sz w:val="18"/>
                <w:szCs w:val="18"/>
              </w:rPr>
              <w:t>Upplýsingar um hvenær samningur um sölutryggingu var eða verður samþykktur.</w:t>
            </w:r>
          </w:p>
        </w:tc>
        <w:tc>
          <w:tcPr>
            <w:tcW w:w="986" w:type="dxa"/>
          </w:tcPr>
          <w:p w:rsidR="006F4DC8" w:rsidRPr="00501852" w:rsidRDefault="006F4DC8" w:rsidP="006F4DC8">
            <w:pPr>
              <w:pStyle w:val="Tflutexti"/>
              <w:spacing w:after="0" w:line="240" w:lineRule="auto"/>
              <w:rPr>
                <w:rFonts w:ascii="Times New Roman" w:hAnsi="Times New Roman" w:cs="Times New Roman"/>
                <w:sz w:val="18"/>
                <w:szCs w:val="18"/>
              </w:rPr>
            </w:pPr>
            <w:r w:rsidRPr="00501852">
              <w:rPr>
                <w:rFonts w:ascii="Times New Roman" w:hAnsi="Times New Roman" w:cs="Times New Roman"/>
                <w:sz w:val="18"/>
                <w:szCs w:val="18"/>
              </w:rPr>
              <w:t>Flokkur C</w:t>
            </w:r>
          </w:p>
        </w:tc>
      </w:tr>
      <w:tr w:rsidR="006F4DC8" w:rsidRPr="00501852" w:rsidTr="00501852">
        <w:trPr>
          <w:trHeight w:val="449"/>
        </w:trPr>
        <w:tc>
          <w:tcPr>
            <w:tcW w:w="845" w:type="dxa"/>
            <w:gridSpan w:val="2"/>
          </w:tcPr>
          <w:p w:rsidR="006F4DC8" w:rsidRPr="00501852" w:rsidRDefault="006F4DC8" w:rsidP="006F4DC8">
            <w:pPr>
              <w:pStyle w:val="Tflutexti"/>
              <w:spacing w:line="240" w:lineRule="auto"/>
              <w:rPr>
                <w:rFonts w:ascii="Times New Roman" w:hAnsi="Times New Roman" w:cs="Times New Roman"/>
                <w:sz w:val="18"/>
                <w:szCs w:val="18"/>
              </w:rPr>
            </w:pPr>
          </w:p>
        </w:tc>
        <w:tc>
          <w:tcPr>
            <w:tcW w:w="1149" w:type="dxa"/>
          </w:tcPr>
          <w:p w:rsidR="006F4DC8" w:rsidRPr="00501852" w:rsidRDefault="006F4DC8" w:rsidP="006F4DC8">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Liður 4.6.</w:t>
            </w:r>
          </w:p>
        </w:tc>
        <w:tc>
          <w:tcPr>
            <w:tcW w:w="7366" w:type="dxa"/>
            <w:gridSpan w:val="2"/>
          </w:tcPr>
          <w:p w:rsidR="006F4DC8" w:rsidRPr="00501852" w:rsidRDefault="006F4DC8" w:rsidP="006F4DC8">
            <w:pPr>
              <w:pStyle w:val="Tflutexti"/>
              <w:spacing w:after="0" w:line="240" w:lineRule="auto"/>
              <w:rPr>
                <w:rFonts w:ascii="Times New Roman" w:hAnsi="Times New Roman" w:cs="Times New Roman"/>
                <w:sz w:val="18"/>
                <w:szCs w:val="18"/>
              </w:rPr>
            </w:pPr>
            <w:r w:rsidRPr="00501852">
              <w:rPr>
                <w:rFonts w:ascii="Times New Roman" w:hAnsi="Times New Roman" w:cs="Times New Roman"/>
                <w:sz w:val="18"/>
                <w:szCs w:val="18"/>
              </w:rPr>
              <w:t>Taka til viðskipta og fyrirkomulag viðskipta</w:t>
            </w:r>
          </w:p>
        </w:tc>
      </w:tr>
      <w:tr w:rsidR="00282CF3" w:rsidRPr="00501852" w:rsidTr="00501852">
        <w:trPr>
          <w:trHeight w:val="449"/>
        </w:trPr>
        <w:tc>
          <w:tcPr>
            <w:tcW w:w="845" w:type="dxa"/>
            <w:gridSpan w:val="2"/>
          </w:tcPr>
          <w:p w:rsidR="00282CF3" w:rsidRPr="00501852" w:rsidRDefault="00282CF3" w:rsidP="00282CF3">
            <w:pPr>
              <w:pStyle w:val="Tflutexti"/>
              <w:spacing w:line="240" w:lineRule="auto"/>
              <w:rPr>
                <w:rFonts w:ascii="Times New Roman" w:hAnsi="Times New Roman" w:cs="Times New Roman"/>
                <w:sz w:val="18"/>
                <w:szCs w:val="18"/>
              </w:rPr>
            </w:pPr>
          </w:p>
        </w:tc>
        <w:tc>
          <w:tcPr>
            <w:tcW w:w="1149" w:type="dxa"/>
          </w:tcPr>
          <w:p w:rsidR="00282CF3" w:rsidRPr="00501852" w:rsidRDefault="00282CF3" w:rsidP="00282CF3">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Liður 4.6.1.</w:t>
            </w:r>
          </w:p>
        </w:tc>
        <w:tc>
          <w:tcPr>
            <w:tcW w:w="6380" w:type="dxa"/>
          </w:tcPr>
          <w:p w:rsidR="00282CF3" w:rsidRPr="00501852" w:rsidRDefault="00282CF3" w:rsidP="00282CF3">
            <w:pPr>
              <w:pStyle w:val="Tflutexti"/>
              <w:rPr>
                <w:rFonts w:ascii="Times New Roman" w:hAnsi="Times New Roman" w:cs="Times New Roman"/>
                <w:sz w:val="18"/>
                <w:szCs w:val="18"/>
              </w:rPr>
            </w:pPr>
            <w:r w:rsidRPr="00501852">
              <w:rPr>
                <w:rFonts w:ascii="Times New Roman" w:hAnsi="Times New Roman" w:cs="Times New Roman"/>
                <w:sz w:val="18"/>
                <w:szCs w:val="18"/>
              </w:rPr>
              <w:t>Upplýsingar um hvort sótt hafi verið eða sótt verði um töku verðbréfanna, sem boðin eru, til viðskipta á vaxtarmarkaði lítilla og meðalstórra fyrirtækja eða markaðstorgi fjármála-gerninga, með dreifingu þeirra í huga á vaxtarmarkaði lítilla og meðalstórra fyrirtækja eða markaðstorgi fjármálagerninga, ásamt upplýsingum um viðkomandi markaði. Nefna skal þessar aðstæður án þess að gefa í skyn að endilega verði samþykkt að taka þau til viðskipta. Tilgreina skal þá daga sem verðbréfin verða fyrst tekin til viðskipta, sé vitað um þá.</w:t>
            </w:r>
          </w:p>
        </w:tc>
        <w:tc>
          <w:tcPr>
            <w:tcW w:w="986" w:type="dxa"/>
          </w:tcPr>
          <w:p w:rsidR="00282CF3" w:rsidRPr="00501852" w:rsidRDefault="00282CF3" w:rsidP="00282CF3">
            <w:pPr>
              <w:pStyle w:val="Tflutexti"/>
              <w:spacing w:after="0" w:line="240" w:lineRule="auto"/>
              <w:rPr>
                <w:rFonts w:ascii="Times New Roman" w:hAnsi="Times New Roman" w:cs="Times New Roman"/>
                <w:sz w:val="18"/>
                <w:szCs w:val="18"/>
              </w:rPr>
            </w:pPr>
            <w:r w:rsidRPr="00501852">
              <w:rPr>
                <w:rFonts w:ascii="Times New Roman" w:hAnsi="Times New Roman" w:cs="Times New Roman"/>
                <w:sz w:val="18"/>
                <w:szCs w:val="18"/>
              </w:rPr>
              <w:t>Flokkur B</w:t>
            </w:r>
          </w:p>
        </w:tc>
      </w:tr>
      <w:tr w:rsidR="00282CF3" w:rsidRPr="00501852" w:rsidTr="00501852">
        <w:trPr>
          <w:trHeight w:val="449"/>
        </w:trPr>
        <w:tc>
          <w:tcPr>
            <w:tcW w:w="845" w:type="dxa"/>
            <w:gridSpan w:val="2"/>
          </w:tcPr>
          <w:p w:rsidR="00282CF3" w:rsidRPr="00501852" w:rsidRDefault="00282CF3" w:rsidP="00282CF3">
            <w:pPr>
              <w:pStyle w:val="Tflutexti"/>
              <w:spacing w:line="240" w:lineRule="auto"/>
              <w:rPr>
                <w:rFonts w:ascii="Times New Roman" w:hAnsi="Times New Roman" w:cs="Times New Roman"/>
                <w:sz w:val="18"/>
                <w:szCs w:val="18"/>
              </w:rPr>
            </w:pPr>
          </w:p>
        </w:tc>
        <w:tc>
          <w:tcPr>
            <w:tcW w:w="1149" w:type="dxa"/>
          </w:tcPr>
          <w:p w:rsidR="00282CF3" w:rsidRPr="00501852" w:rsidRDefault="00282CF3" w:rsidP="00282CF3">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Liður 4.6.2.</w:t>
            </w:r>
          </w:p>
        </w:tc>
        <w:tc>
          <w:tcPr>
            <w:tcW w:w="6380" w:type="dxa"/>
          </w:tcPr>
          <w:p w:rsidR="00282CF3" w:rsidRPr="00501852" w:rsidRDefault="00282CF3" w:rsidP="00282CF3">
            <w:pPr>
              <w:pStyle w:val="Tflutexti"/>
              <w:rPr>
                <w:rFonts w:ascii="Times New Roman" w:hAnsi="Times New Roman" w:cs="Times New Roman"/>
                <w:sz w:val="18"/>
                <w:szCs w:val="18"/>
              </w:rPr>
            </w:pPr>
            <w:r w:rsidRPr="00501852">
              <w:rPr>
                <w:rFonts w:ascii="Times New Roman" w:hAnsi="Times New Roman" w:cs="Times New Roman"/>
                <w:sz w:val="18"/>
                <w:szCs w:val="18"/>
              </w:rPr>
              <w:t>Tilgreina skal alla vaxtarmarkaði lítilla og meðalstórra fyrirtækja eða markaðstorg fjármálagerninga sem útgefandi hefur vitneskju um að verðbréf í sama flokki og þau verðbréf sem á að bjóða til kaups eða taka til viðskipta hafi þegar verið tekin til viðskipta á.</w:t>
            </w:r>
          </w:p>
        </w:tc>
        <w:tc>
          <w:tcPr>
            <w:tcW w:w="986" w:type="dxa"/>
          </w:tcPr>
          <w:p w:rsidR="00282CF3" w:rsidRPr="00501852" w:rsidRDefault="00282CF3" w:rsidP="00282CF3">
            <w:pPr>
              <w:pStyle w:val="Tflutexti"/>
              <w:spacing w:after="0" w:line="240" w:lineRule="auto"/>
              <w:rPr>
                <w:rFonts w:ascii="Times New Roman" w:hAnsi="Times New Roman" w:cs="Times New Roman"/>
                <w:sz w:val="18"/>
                <w:szCs w:val="18"/>
              </w:rPr>
            </w:pPr>
            <w:r w:rsidRPr="00501852">
              <w:rPr>
                <w:rFonts w:ascii="Times New Roman" w:hAnsi="Times New Roman" w:cs="Times New Roman"/>
                <w:sz w:val="18"/>
                <w:szCs w:val="18"/>
              </w:rPr>
              <w:t>Flokkur C</w:t>
            </w:r>
          </w:p>
        </w:tc>
      </w:tr>
      <w:tr w:rsidR="00282CF3" w:rsidRPr="00501852" w:rsidTr="00501852">
        <w:trPr>
          <w:trHeight w:val="449"/>
        </w:trPr>
        <w:tc>
          <w:tcPr>
            <w:tcW w:w="845" w:type="dxa"/>
            <w:gridSpan w:val="2"/>
          </w:tcPr>
          <w:p w:rsidR="00282CF3" w:rsidRPr="00501852" w:rsidRDefault="00282CF3" w:rsidP="00282CF3">
            <w:pPr>
              <w:pStyle w:val="Tflutexti"/>
              <w:spacing w:line="240" w:lineRule="auto"/>
              <w:rPr>
                <w:rFonts w:ascii="Times New Roman" w:hAnsi="Times New Roman" w:cs="Times New Roman"/>
                <w:sz w:val="18"/>
                <w:szCs w:val="18"/>
              </w:rPr>
            </w:pPr>
          </w:p>
        </w:tc>
        <w:tc>
          <w:tcPr>
            <w:tcW w:w="1149" w:type="dxa"/>
          </w:tcPr>
          <w:p w:rsidR="00282CF3" w:rsidRPr="00501852" w:rsidRDefault="00282CF3" w:rsidP="00282CF3">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Liður 4.6.3.</w:t>
            </w:r>
          </w:p>
        </w:tc>
        <w:tc>
          <w:tcPr>
            <w:tcW w:w="6380" w:type="dxa"/>
          </w:tcPr>
          <w:p w:rsidR="00282CF3" w:rsidRPr="00501852" w:rsidRDefault="00282CF3" w:rsidP="00282CF3">
            <w:pPr>
              <w:pStyle w:val="Tflutexti"/>
              <w:rPr>
                <w:rFonts w:ascii="Times New Roman" w:hAnsi="Times New Roman" w:cs="Times New Roman"/>
                <w:sz w:val="18"/>
                <w:szCs w:val="18"/>
              </w:rPr>
            </w:pPr>
            <w:r w:rsidRPr="00501852">
              <w:rPr>
                <w:rFonts w:ascii="Times New Roman" w:hAnsi="Times New Roman" w:cs="Times New Roman"/>
                <w:sz w:val="18"/>
                <w:szCs w:val="18"/>
              </w:rPr>
              <w:t>Sé um að ræða töku til viðskipta á vaxtarmarkaði lítilla og meðalstórra fyrirtækja eða markaðstorgi fjármálagerninga, upplýsingar um aðila sem hafa gert bindandi samkomulag um að starfa sem milliliðir í eftirmarkaðsviðskiptum og veita seljanleika með kaup- og sölutilboðum, ásamt lýsingu á helstu skilmálum samkomulagsins.</w:t>
            </w:r>
          </w:p>
        </w:tc>
        <w:tc>
          <w:tcPr>
            <w:tcW w:w="986" w:type="dxa"/>
          </w:tcPr>
          <w:p w:rsidR="00282CF3" w:rsidRPr="00501852" w:rsidRDefault="00282CF3" w:rsidP="00282CF3">
            <w:pPr>
              <w:pStyle w:val="Tflutexti"/>
              <w:spacing w:after="0" w:line="240" w:lineRule="auto"/>
              <w:rPr>
                <w:rFonts w:ascii="Times New Roman" w:hAnsi="Times New Roman" w:cs="Times New Roman"/>
                <w:sz w:val="18"/>
                <w:szCs w:val="18"/>
              </w:rPr>
            </w:pPr>
            <w:r w:rsidRPr="00501852">
              <w:rPr>
                <w:rFonts w:ascii="Times New Roman" w:hAnsi="Times New Roman" w:cs="Times New Roman"/>
                <w:sz w:val="18"/>
                <w:szCs w:val="18"/>
              </w:rPr>
              <w:t>Flokkur C</w:t>
            </w:r>
          </w:p>
        </w:tc>
      </w:tr>
      <w:tr w:rsidR="00282CF3" w:rsidRPr="00501852" w:rsidTr="00501852">
        <w:trPr>
          <w:trHeight w:val="449"/>
        </w:trPr>
        <w:tc>
          <w:tcPr>
            <w:tcW w:w="845" w:type="dxa"/>
            <w:gridSpan w:val="2"/>
          </w:tcPr>
          <w:p w:rsidR="00282CF3" w:rsidRPr="00501852" w:rsidRDefault="00282CF3" w:rsidP="00282CF3">
            <w:pPr>
              <w:pStyle w:val="Tflutexti"/>
              <w:spacing w:line="240" w:lineRule="auto"/>
              <w:rPr>
                <w:rFonts w:ascii="Times New Roman" w:hAnsi="Times New Roman" w:cs="Times New Roman"/>
                <w:sz w:val="18"/>
                <w:szCs w:val="18"/>
              </w:rPr>
            </w:pPr>
          </w:p>
        </w:tc>
        <w:tc>
          <w:tcPr>
            <w:tcW w:w="1149" w:type="dxa"/>
          </w:tcPr>
          <w:p w:rsidR="00282CF3" w:rsidRPr="00501852" w:rsidRDefault="00282CF3" w:rsidP="00282CF3">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Liður 4.6.4.</w:t>
            </w:r>
          </w:p>
        </w:tc>
        <w:tc>
          <w:tcPr>
            <w:tcW w:w="6380" w:type="dxa"/>
          </w:tcPr>
          <w:p w:rsidR="00282CF3" w:rsidRPr="00501852" w:rsidRDefault="00282CF3" w:rsidP="00282CF3">
            <w:pPr>
              <w:pStyle w:val="Tflutexti"/>
              <w:rPr>
                <w:rFonts w:ascii="Times New Roman" w:hAnsi="Times New Roman" w:cs="Times New Roman"/>
                <w:sz w:val="18"/>
                <w:szCs w:val="18"/>
              </w:rPr>
            </w:pPr>
            <w:r w:rsidRPr="00501852">
              <w:rPr>
                <w:rFonts w:ascii="Times New Roman" w:hAnsi="Times New Roman" w:cs="Times New Roman"/>
                <w:sz w:val="18"/>
                <w:szCs w:val="18"/>
              </w:rPr>
              <w:t>Útgáfuverð verðbréfanna</w:t>
            </w:r>
          </w:p>
        </w:tc>
        <w:tc>
          <w:tcPr>
            <w:tcW w:w="986" w:type="dxa"/>
          </w:tcPr>
          <w:p w:rsidR="00282CF3" w:rsidRPr="00501852" w:rsidRDefault="00282CF3" w:rsidP="00282CF3">
            <w:pPr>
              <w:pStyle w:val="Tflutexti"/>
              <w:spacing w:after="0" w:line="240" w:lineRule="auto"/>
              <w:rPr>
                <w:rFonts w:ascii="Times New Roman" w:hAnsi="Times New Roman" w:cs="Times New Roman"/>
                <w:sz w:val="18"/>
                <w:szCs w:val="18"/>
              </w:rPr>
            </w:pPr>
            <w:r w:rsidRPr="00501852">
              <w:rPr>
                <w:rFonts w:ascii="Times New Roman" w:hAnsi="Times New Roman" w:cs="Times New Roman"/>
                <w:sz w:val="18"/>
                <w:szCs w:val="18"/>
              </w:rPr>
              <w:t>Flokkur C</w:t>
            </w:r>
          </w:p>
        </w:tc>
      </w:tr>
      <w:tr w:rsidR="00282CF3" w:rsidRPr="00501852" w:rsidTr="00501852">
        <w:trPr>
          <w:trHeight w:val="449"/>
        </w:trPr>
        <w:tc>
          <w:tcPr>
            <w:tcW w:w="845" w:type="dxa"/>
            <w:gridSpan w:val="2"/>
          </w:tcPr>
          <w:p w:rsidR="00282CF3" w:rsidRPr="00501852" w:rsidRDefault="00282CF3" w:rsidP="00282CF3">
            <w:pPr>
              <w:pStyle w:val="Tflutexti"/>
              <w:spacing w:line="240" w:lineRule="auto"/>
              <w:rPr>
                <w:rFonts w:ascii="Times New Roman" w:hAnsi="Times New Roman" w:cs="Times New Roman"/>
                <w:sz w:val="18"/>
                <w:szCs w:val="18"/>
              </w:rPr>
            </w:pPr>
          </w:p>
        </w:tc>
        <w:tc>
          <w:tcPr>
            <w:tcW w:w="1149" w:type="dxa"/>
          </w:tcPr>
          <w:p w:rsidR="00282CF3" w:rsidRPr="00501852" w:rsidRDefault="00282CF3" w:rsidP="00282CF3">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5. ÞÁTTUR</w:t>
            </w:r>
          </w:p>
        </w:tc>
        <w:tc>
          <w:tcPr>
            <w:tcW w:w="7366" w:type="dxa"/>
            <w:gridSpan w:val="2"/>
          </w:tcPr>
          <w:p w:rsidR="00282CF3" w:rsidRPr="00501852" w:rsidRDefault="00282CF3" w:rsidP="00282CF3">
            <w:pPr>
              <w:pStyle w:val="Tflutexti"/>
              <w:spacing w:after="0" w:line="240" w:lineRule="auto"/>
              <w:rPr>
                <w:rFonts w:ascii="Times New Roman" w:hAnsi="Times New Roman" w:cs="Times New Roman"/>
                <w:sz w:val="18"/>
                <w:szCs w:val="18"/>
              </w:rPr>
            </w:pPr>
            <w:r w:rsidRPr="00501852">
              <w:rPr>
                <w:rFonts w:ascii="Times New Roman" w:hAnsi="Times New Roman" w:cs="Times New Roman"/>
                <w:sz w:val="18"/>
                <w:szCs w:val="18"/>
              </w:rPr>
              <w:t>UPPLÝSINGAR UM ÁBYRGÐARVEITANDA (EF VIÐ Á)</w:t>
            </w:r>
          </w:p>
        </w:tc>
      </w:tr>
      <w:tr w:rsidR="00282CF3" w:rsidRPr="00501852" w:rsidTr="00501852">
        <w:trPr>
          <w:trHeight w:val="449"/>
        </w:trPr>
        <w:tc>
          <w:tcPr>
            <w:tcW w:w="845" w:type="dxa"/>
            <w:gridSpan w:val="2"/>
          </w:tcPr>
          <w:p w:rsidR="00282CF3" w:rsidRPr="00501852" w:rsidRDefault="00282CF3" w:rsidP="00282CF3">
            <w:pPr>
              <w:pStyle w:val="Tflutexti"/>
              <w:spacing w:line="240" w:lineRule="auto"/>
              <w:rPr>
                <w:rFonts w:ascii="Times New Roman" w:hAnsi="Times New Roman" w:cs="Times New Roman"/>
                <w:sz w:val="18"/>
                <w:szCs w:val="18"/>
              </w:rPr>
            </w:pPr>
          </w:p>
        </w:tc>
        <w:tc>
          <w:tcPr>
            <w:tcW w:w="1149" w:type="dxa"/>
          </w:tcPr>
          <w:p w:rsidR="00282CF3" w:rsidRPr="00501852" w:rsidRDefault="00282CF3" w:rsidP="00282CF3">
            <w:pPr>
              <w:pStyle w:val="Tflutexti"/>
              <w:spacing w:line="240" w:lineRule="auto"/>
              <w:rPr>
                <w:rFonts w:ascii="Times New Roman" w:hAnsi="Times New Roman" w:cs="Times New Roman"/>
                <w:sz w:val="18"/>
                <w:szCs w:val="18"/>
              </w:rPr>
            </w:pPr>
            <w:r w:rsidRPr="00501852">
              <w:rPr>
                <w:rFonts w:ascii="Times New Roman" w:hAnsi="Times New Roman" w:cs="Times New Roman"/>
                <w:sz w:val="18"/>
                <w:szCs w:val="18"/>
              </w:rPr>
              <w:t>Liður 5.1.</w:t>
            </w:r>
          </w:p>
        </w:tc>
        <w:tc>
          <w:tcPr>
            <w:tcW w:w="7366" w:type="dxa"/>
            <w:gridSpan w:val="2"/>
          </w:tcPr>
          <w:p w:rsidR="00282CF3" w:rsidRPr="00501852" w:rsidRDefault="00282CF3" w:rsidP="00282CF3">
            <w:pPr>
              <w:pStyle w:val="Tflutexti"/>
              <w:spacing w:after="0" w:line="240" w:lineRule="auto"/>
              <w:rPr>
                <w:rFonts w:ascii="Times New Roman" w:hAnsi="Times New Roman" w:cs="Times New Roman"/>
                <w:sz w:val="18"/>
                <w:szCs w:val="18"/>
              </w:rPr>
            </w:pPr>
            <w:r w:rsidRPr="00501852">
              <w:rPr>
                <w:rFonts w:ascii="Times New Roman" w:hAnsi="Times New Roman" w:cs="Times New Roman"/>
                <w:sz w:val="18"/>
                <w:szCs w:val="18"/>
              </w:rPr>
              <w:t>Séu verðbréfin tryggð með ábyrgð skal veita upplýsingarnar sem krafist er í 21. viðauka.</w:t>
            </w:r>
          </w:p>
        </w:tc>
      </w:tr>
    </w:tbl>
    <w:p w:rsidR="009B6F21" w:rsidRPr="00501852" w:rsidRDefault="009B6F21" w:rsidP="007F6312">
      <w:pPr>
        <w:pStyle w:val="Meginml"/>
        <w:rPr>
          <w:rFonts w:ascii="Times New Roman" w:hAnsi="Times New Roman" w:cs="Times New Roman"/>
          <w:sz w:val="18"/>
          <w:szCs w:val="18"/>
          <w:lang w:val="is-IS"/>
        </w:rPr>
      </w:pPr>
    </w:p>
    <w:sectPr w:rsidR="009B6F21" w:rsidRPr="00501852" w:rsidSect="00282CF3">
      <w:headerReference w:type="default" r:id="rId8"/>
      <w:footerReference w:type="default" r:id="rId9"/>
      <w:headerReference w:type="first" r:id="rId10"/>
      <w:footerReference w:type="first" r:id="rId11"/>
      <w:pgSz w:w="11900" w:h="16820"/>
      <w:pgMar w:top="1985" w:right="1418" w:bottom="999" w:left="1418" w:header="79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627" w:rsidRDefault="00DD0627" w:rsidP="004C2AD6">
      <w:r>
        <w:separator/>
      </w:r>
    </w:p>
  </w:endnote>
  <w:endnote w:type="continuationSeparator" w:id="0">
    <w:p w:rsidR="00DD0627" w:rsidRDefault="00DD0627" w:rsidP="004C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ntax LT Std">
    <w:panose1 w:val="020D05020305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312" w:rsidRPr="007F6312" w:rsidRDefault="007F6312" w:rsidP="007F6312">
    <w:pPr>
      <w:pStyle w:val="Footer"/>
      <w:tabs>
        <w:tab w:val="clear" w:pos="9360"/>
        <w:tab w:val="center" w:pos="4532"/>
      </w:tabs>
      <w:rPr>
        <w:b/>
        <w:i/>
      </w:rPr>
    </w:pPr>
    <w:r w:rsidRPr="007F6312">
      <w:tab/>
    </w:r>
    <w:sdt>
      <w:sdtPr>
        <w:rPr>
          <w:b/>
          <w:i/>
        </w:rPr>
        <w:id w:val="121507023"/>
        <w:docPartObj>
          <w:docPartGallery w:val="Page Numbers (Bottom of Page)"/>
          <w:docPartUnique/>
        </w:docPartObj>
      </w:sdtPr>
      <w:sdtEndPr>
        <w:rPr>
          <w:i w:val="0"/>
          <w:noProof/>
        </w:rPr>
      </w:sdtEndPr>
      <w:sdtContent>
        <w:r w:rsidRPr="001E5E3E">
          <w:rPr>
            <w:rFonts w:ascii="Syntax LT Std" w:hAnsi="Syntax LT Std"/>
            <w:b/>
            <w:sz w:val="18"/>
            <w:szCs w:val="18"/>
          </w:rPr>
          <w:fldChar w:fldCharType="begin"/>
        </w:r>
        <w:r w:rsidRPr="001E5E3E">
          <w:rPr>
            <w:rFonts w:ascii="Syntax LT Std" w:hAnsi="Syntax LT Std"/>
            <w:sz w:val="18"/>
            <w:szCs w:val="18"/>
          </w:rPr>
          <w:instrText xml:space="preserve"> PAGE   \* MERGEFORMAT </w:instrText>
        </w:r>
        <w:r w:rsidRPr="001E5E3E">
          <w:rPr>
            <w:rFonts w:ascii="Syntax LT Std" w:hAnsi="Syntax LT Std"/>
            <w:b/>
            <w:sz w:val="18"/>
            <w:szCs w:val="18"/>
          </w:rPr>
          <w:fldChar w:fldCharType="separate"/>
        </w:r>
        <w:r w:rsidR="00501852" w:rsidRPr="00501852">
          <w:rPr>
            <w:rFonts w:ascii="Syntax LT Std" w:hAnsi="Syntax LT Std"/>
            <w:b/>
            <w:noProof/>
            <w:sz w:val="18"/>
            <w:szCs w:val="18"/>
          </w:rPr>
          <w:t>5</w:t>
        </w:r>
        <w:r w:rsidRPr="001E5E3E">
          <w:rPr>
            <w:rFonts w:ascii="Syntax LT Std" w:hAnsi="Syntax LT Std"/>
            <w:b/>
            <w:noProof/>
            <w:sz w:val="18"/>
            <w:szCs w:val="18"/>
          </w:rPr>
          <w:fldChar w:fldCharType="end"/>
        </w:r>
      </w:sdtContent>
    </w:sdt>
    <w:r w:rsidRPr="001E5E3E">
      <w:rPr>
        <w:noProof/>
      </w:rPr>
      <w:tab/>
    </w:r>
    <w:r w:rsidRPr="007F6312">
      <w:rPr>
        <w:noProof/>
      </w:rPr>
      <w:tab/>
    </w:r>
  </w:p>
  <w:p w:rsidR="007F6312" w:rsidRPr="007F6312" w:rsidRDefault="007F6312">
    <w:pPr>
      <w:pStyle w:val="Footer"/>
      <w:rPr>
        <w:b/>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786433"/>
      <w:docPartObj>
        <w:docPartGallery w:val="Page Numbers (Bottom of Page)"/>
        <w:docPartUnique/>
      </w:docPartObj>
    </w:sdtPr>
    <w:sdtEndPr>
      <w:rPr>
        <w:rFonts w:ascii="Syntax LT Std" w:hAnsi="Syntax LT Std"/>
        <w:b/>
        <w:noProof/>
        <w:sz w:val="18"/>
        <w:szCs w:val="18"/>
      </w:rPr>
    </w:sdtEndPr>
    <w:sdtContent>
      <w:p w:rsidR="007B0B36" w:rsidRPr="007B5B30" w:rsidRDefault="007B0B36">
        <w:pPr>
          <w:pStyle w:val="Footer"/>
          <w:jc w:val="center"/>
          <w:rPr>
            <w:rFonts w:ascii="Syntax LT Std" w:hAnsi="Syntax LT Std"/>
            <w:b/>
            <w:sz w:val="18"/>
            <w:szCs w:val="18"/>
          </w:rPr>
        </w:pPr>
        <w:r w:rsidRPr="007B5B30">
          <w:rPr>
            <w:rFonts w:ascii="Syntax LT Std" w:hAnsi="Syntax LT Std"/>
            <w:b/>
            <w:sz w:val="18"/>
            <w:szCs w:val="18"/>
          </w:rPr>
          <w:fldChar w:fldCharType="begin"/>
        </w:r>
        <w:r w:rsidRPr="007B5B30">
          <w:rPr>
            <w:rFonts w:ascii="Syntax LT Std" w:hAnsi="Syntax LT Std"/>
            <w:sz w:val="18"/>
            <w:szCs w:val="18"/>
          </w:rPr>
          <w:instrText xml:space="preserve"> PAGE   \* MERGEFORMAT </w:instrText>
        </w:r>
        <w:r w:rsidRPr="007B5B30">
          <w:rPr>
            <w:rFonts w:ascii="Syntax LT Std" w:hAnsi="Syntax LT Std"/>
            <w:b/>
            <w:sz w:val="18"/>
            <w:szCs w:val="18"/>
          </w:rPr>
          <w:fldChar w:fldCharType="separate"/>
        </w:r>
        <w:r w:rsidR="00501852" w:rsidRPr="00501852">
          <w:rPr>
            <w:rFonts w:ascii="Syntax LT Std" w:hAnsi="Syntax LT Std"/>
            <w:b/>
            <w:noProof/>
            <w:sz w:val="18"/>
            <w:szCs w:val="18"/>
          </w:rPr>
          <w:t>1</w:t>
        </w:r>
        <w:r w:rsidRPr="007B5B30">
          <w:rPr>
            <w:rFonts w:ascii="Syntax LT Std" w:hAnsi="Syntax LT Std"/>
            <w:b/>
            <w:noProof/>
            <w:sz w:val="18"/>
            <w:szCs w:val="18"/>
          </w:rPr>
          <w:fldChar w:fldCharType="end"/>
        </w:r>
      </w:p>
    </w:sdtContent>
  </w:sdt>
  <w:p w:rsidR="007B0B36" w:rsidRDefault="007B0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627" w:rsidRDefault="00DD0627" w:rsidP="004C2AD6">
      <w:r>
        <w:separator/>
      </w:r>
    </w:p>
  </w:footnote>
  <w:footnote w:type="continuationSeparator" w:id="0">
    <w:p w:rsidR="00DD0627" w:rsidRDefault="00DD0627" w:rsidP="004C2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76A" w:rsidRDefault="0023476A">
    <w:pPr>
      <w:pStyle w:val="Header"/>
    </w:pPr>
  </w:p>
  <w:p w:rsidR="0023476A" w:rsidRDefault="0023476A">
    <w:pPr>
      <w:pStyle w:val="Header"/>
    </w:pPr>
    <w:r>
      <w:rPr>
        <w:noProof/>
        <w:lang w:val="is-IS" w:eastAsia="is-IS"/>
      </w:rPr>
      <w:drawing>
        <wp:inline distT="0" distB="0" distL="0" distR="0">
          <wp:extent cx="1728000" cy="21600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us fme-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000" cy="21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B36" w:rsidRDefault="007B0B36">
    <w:pPr>
      <w:pStyle w:val="Header"/>
    </w:pPr>
    <w:r>
      <w:rPr>
        <w:noProof/>
        <w:lang w:val="is-IS" w:eastAsia="is-IS"/>
      </w:rPr>
      <w:drawing>
        <wp:inline distT="0" distB="0" distL="0" distR="0" wp14:anchorId="747FB19C" wp14:editId="61CD99CB">
          <wp:extent cx="2867025" cy="7452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Fme logo 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5678" cy="7605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3C15"/>
    <w:multiLevelType w:val="hybridMultilevel"/>
    <w:tmpl w:val="7D14FAD6"/>
    <w:lvl w:ilvl="0" w:tplc="57B2CB7A">
      <w:start w:val="1"/>
      <w:numFmt w:val="decimal"/>
      <w:lvlText w:val="%1."/>
      <w:lvlJc w:val="left"/>
      <w:pPr>
        <w:ind w:left="359" w:hanging="360"/>
      </w:pPr>
      <w:rPr>
        <w:rFonts w:hint="default"/>
      </w:rPr>
    </w:lvl>
    <w:lvl w:ilvl="1" w:tplc="040F0019" w:tentative="1">
      <w:start w:val="1"/>
      <w:numFmt w:val="lowerLetter"/>
      <w:lvlText w:val="%2."/>
      <w:lvlJc w:val="left"/>
      <w:pPr>
        <w:ind w:left="1079" w:hanging="360"/>
      </w:pPr>
    </w:lvl>
    <w:lvl w:ilvl="2" w:tplc="040F001B" w:tentative="1">
      <w:start w:val="1"/>
      <w:numFmt w:val="lowerRoman"/>
      <w:lvlText w:val="%3."/>
      <w:lvlJc w:val="right"/>
      <w:pPr>
        <w:ind w:left="1799" w:hanging="180"/>
      </w:pPr>
    </w:lvl>
    <w:lvl w:ilvl="3" w:tplc="040F000F" w:tentative="1">
      <w:start w:val="1"/>
      <w:numFmt w:val="decimal"/>
      <w:lvlText w:val="%4."/>
      <w:lvlJc w:val="left"/>
      <w:pPr>
        <w:ind w:left="2519" w:hanging="360"/>
      </w:pPr>
    </w:lvl>
    <w:lvl w:ilvl="4" w:tplc="040F0019" w:tentative="1">
      <w:start w:val="1"/>
      <w:numFmt w:val="lowerLetter"/>
      <w:lvlText w:val="%5."/>
      <w:lvlJc w:val="left"/>
      <w:pPr>
        <w:ind w:left="3239" w:hanging="360"/>
      </w:pPr>
    </w:lvl>
    <w:lvl w:ilvl="5" w:tplc="040F001B" w:tentative="1">
      <w:start w:val="1"/>
      <w:numFmt w:val="lowerRoman"/>
      <w:lvlText w:val="%6."/>
      <w:lvlJc w:val="right"/>
      <w:pPr>
        <w:ind w:left="3959" w:hanging="180"/>
      </w:pPr>
    </w:lvl>
    <w:lvl w:ilvl="6" w:tplc="040F000F" w:tentative="1">
      <w:start w:val="1"/>
      <w:numFmt w:val="decimal"/>
      <w:lvlText w:val="%7."/>
      <w:lvlJc w:val="left"/>
      <w:pPr>
        <w:ind w:left="4679" w:hanging="360"/>
      </w:pPr>
    </w:lvl>
    <w:lvl w:ilvl="7" w:tplc="040F0019" w:tentative="1">
      <w:start w:val="1"/>
      <w:numFmt w:val="lowerLetter"/>
      <w:lvlText w:val="%8."/>
      <w:lvlJc w:val="left"/>
      <w:pPr>
        <w:ind w:left="5399" w:hanging="360"/>
      </w:pPr>
    </w:lvl>
    <w:lvl w:ilvl="8" w:tplc="040F001B" w:tentative="1">
      <w:start w:val="1"/>
      <w:numFmt w:val="lowerRoman"/>
      <w:lvlText w:val="%9."/>
      <w:lvlJc w:val="right"/>
      <w:pPr>
        <w:ind w:left="6119" w:hanging="180"/>
      </w:pPr>
    </w:lvl>
  </w:abstractNum>
  <w:abstractNum w:abstractNumId="1" w15:restartNumberingAfterBreak="0">
    <w:nsid w:val="1670757B"/>
    <w:multiLevelType w:val="hybridMultilevel"/>
    <w:tmpl w:val="61FA2120"/>
    <w:lvl w:ilvl="0" w:tplc="2E668F7E">
      <w:start w:val="1"/>
      <w:numFmt w:val="lowerLetter"/>
      <w:lvlText w:val="%1)"/>
      <w:lvlJc w:val="left"/>
      <w:pPr>
        <w:ind w:left="717" w:hanging="405"/>
      </w:pPr>
      <w:rPr>
        <w:rFonts w:hint="default"/>
      </w:rPr>
    </w:lvl>
    <w:lvl w:ilvl="1" w:tplc="040F0019" w:tentative="1">
      <w:start w:val="1"/>
      <w:numFmt w:val="lowerLetter"/>
      <w:lvlText w:val="%2."/>
      <w:lvlJc w:val="left"/>
      <w:pPr>
        <w:ind w:left="1392" w:hanging="360"/>
      </w:pPr>
    </w:lvl>
    <w:lvl w:ilvl="2" w:tplc="040F001B" w:tentative="1">
      <w:start w:val="1"/>
      <w:numFmt w:val="lowerRoman"/>
      <w:lvlText w:val="%3."/>
      <w:lvlJc w:val="right"/>
      <w:pPr>
        <w:ind w:left="2112" w:hanging="180"/>
      </w:pPr>
    </w:lvl>
    <w:lvl w:ilvl="3" w:tplc="040F000F" w:tentative="1">
      <w:start w:val="1"/>
      <w:numFmt w:val="decimal"/>
      <w:lvlText w:val="%4."/>
      <w:lvlJc w:val="left"/>
      <w:pPr>
        <w:ind w:left="2832" w:hanging="360"/>
      </w:pPr>
    </w:lvl>
    <w:lvl w:ilvl="4" w:tplc="040F0019" w:tentative="1">
      <w:start w:val="1"/>
      <w:numFmt w:val="lowerLetter"/>
      <w:lvlText w:val="%5."/>
      <w:lvlJc w:val="left"/>
      <w:pPr>
        <w:ind w:left="3552" w:hanging="360"/>
      </w:pPr>
    </w:lvl>
    <w:lvl w:ilvl="5" w:tplc="040F001B" w:tentative="1">
      <w:start w:val="1"/>
      <w:numFmt w:val="lowerRoman"/>
      <w:lvlText w:val="%6."/>
      <w:lvlJc w:val="right"/>
      <w:pPr>
        <w:ind w:left="4272" w:hanging="180"/>
      </w:pPr>
    </w:lvl>
    <w:lvl w:ilvl="6" w:tplc="040F000F" w:tentative="1">
      <w:start w:val="1"/>
      <w:numFmt w:val="decimal"/>
      <w:lvlText w:val="%7."/>
      <w:lvlJc w:val="left"/>
      <w:pPr>
        <w:ind w:left="4992" w:hanging="360"/>
      </w:pPr>
    </w:lvl>
    <w:lvl w:ilvl="7" w:tplc="040F0019" w:tentative="1">
      <w:start w:val="1"/>
      <w:numFmt w:val="lowerLetter"/>
      <w:lvlText w:val="%8."/>
      <w:lvlJc w:val="left"/>
      <w:pPr>
        <w:ind w:left="5712" w:hanging="360"/>
      </w:pPr>
    </w:lvl>
    <w:lvl w:ilvl="8" w:tplc="040F001B" w:tentative="1">
      <w:start w:val="1"/>
      <w:numFmt w:val="lowerRoman"/>
      <w:lvlText w:val="%9."/>
      <w:lvlJc w:val="right"/>
      <w:pPr>
        <w:ind w:left="6432" w:hanging="180"/>
      </w:pPr>
    </w:lvl>
  </w:abstractNum>
  <w:abstractNum w:abstractNumId="2" w15:restartNumberingAfterBreak="0">
    <w:nsid w:val="1C825102"/>
    <w:multiLevelType w:val="hybridMultilevel"/>
    <w:tmpl w:val="37E0139C"/>
    <w:lvl w:ilvl="0" w:tplc="4A5E4846">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213E6CFF"/>
    <w:multiLevelType w:val="multilevel"/>
    <w:tmpl w:val="183294E2"/>
    <w:lvl w:ilvl="0">
      <w:start w:val="1"/>
      <w:numFmt w:val="decimal"/>
      <w:lvlText w:val="%1"/>
      <w:lvlJc w:val="left"/>
      <w:pPr>
        <w:ind w:left="360" w:hanging="360"/>
      </w:pPr>
      <w:rPr>
        <w:rFonts w:hint="default"/>
      </w:rPr>
    </w:lvl>
    <w:lvl w:ilvl="1">
      <w:start w:val="1"/>
      <w:numFmt w:val="decimal"/>
      <w:lvlText w:val="%1.%2"/>
      <w:lvlJc w:val="left"/>
      <w:pPr>
        <w:ind w:left="718" w:hanging="576"/>
      </w:pPr>
      <w:rPr>
        <w:color w:val="auto"/>
      </w:rPr>
    </w:lvl>
    <w:lvl w:ilvl="2">
      <w:start w:val="1"/>
      <w:numFmt w:val="decimal"/>
      <w:lvlText w:val="%1.%2.%3"/>
      <w:lvlJc w:val="left"/>
      <w:pPr>
        <w:ind w:left="720" w:hanging="720"/>
      </w:pPr>
    </w:lvl>
    <w:lvl w:ilvl="3">
      <w:start w:val="1"/>
      <w:numFmt w:val="decimal"/>
      <w:lvlText w:val="%1.%2.%3.%4"/>
      <w:lvlJc w:val="left"/>
      <w:pPr>
        <w:ind w:left="864" w:hanging="864"/>
      </w:pPr>
      <w:rPr>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CC925DD"/>
    <w:multiLevelType w:val="hybridMultilevel"/>
    <w:tmpl w:val="2CBA64A2"/>
    <w:lvl w:ilvl="0" w:tplc="213AFC4A">
      <w:start w:val="1"/>
      <w:numFmt w:val="decimal"/>
      <w:lvlText w:val="%1."/>
      <w:lvlJc w:val="left"/>
      <w:pPr>
        <w:ind w:left="404" w:hanging="360"/>
      </w:pPr>
      <w:rPr>
        <w:rFonts w:hint="default"/>
      </w:rPr>
    </w:lvl>
    <w:lvl w:ilvl="1" w:tplc="040F0019" w:tentative="1">
      <w:start w:val="1"/>
      <w:numFmt w:val="lowerLetter"/>
      <w:lvlText w:val="%2."/>
      <w:lvlJc w:val="left"/>
      <w:pPr>
        <w:ind w:left="1124" w:hanging="360"/>
      </w:pPr>
    </w:lvl>
    <w:lvl w:ilvl="2" w:tplc="040F001B" w:tentative="1">
      <w:start w:val="1"/>
      <w:numFmt w:val="lowerRoman"/>
      <w:lvlText w:val="%3."/>
      <w:lvlJc w:val="right"/>
      <w:pPr>
        <w:ind w:left="1844" w:hanging="180"/>
      </w:pPr>
    </w:lvl>
    <w:lvl w:ilvl="3" w:tplc="040F000F" w:tentative="1">
      <w:start w:val="1"/>
      <w:numFmt w:val="decimal"/>
      <w:lvlText w:val="%4."/>
      <w:lvlJc w:val="left"/>
      <w:pPr>
        <w:ind w:left="2564" w:hanging="360"/>
      </w:pPr>
    </w:lvl>
    <w:lvl w:ilvl="4" w:tplc="040F0019" w:tentative="1">
      <w:start w:val="1"/>
      <w:numFmt w:val="lowerLetter"/>
      <w:lvlText w:val="%5."/>
      <w:lvlJc w:val="left"/>
      <w:pPr>
        <w:ind w:left="3284" w:hanging="360"/>
      </w:pPr>
    </w:lvl>
    <w:lvl w:ilvl="5" w:tplc="040F001B" w:tentative="1">
      <w:start w:val="1"/>
      <w:numFmt w:val="lowerRoman"/>
      <w:lvlText w:val="%6."/>
      <w:lvlJc w:val="right"/>
      <w:pPr>
        <w:ind w:left="4004" w:hanging="180"/>
      </w:pPr>
    </w:lvl>
    <w:lvl w:ilvl="6" w:tplc="040F000F" w:tentative="1">
      <w:start w:val="1"/>
      <w:numFmt w:val="decimal"/>
      <w:lvlText w:val="%7."/>
      <w:lvlJc w:val="left"/>
      <w:pPr>
        <w:ind w:left="4724" w:hanging="360"/>
      </w:pPr>
    </w:lvl>
    <w:lvl w:ilvl="7" w:tplc="040F0019" w:tentative="1">
      <w:start w:val="1"/>
      <w:numFmt w:val="lowerLetter"/>
      <w:lvlText w:val="%8."/>
      <w:lvlJc w:val="left"/>
      <w:pPr>
        <w:ind w:left="5444" w:hanging="360"/>
      </w:pPr>
    </w:lvl>
    <w:lvl w:ilvl="8" w:tplc="040F001B" w:tentative="1">
      <w:start w:val="1"/>
      <w:numFmt w:val="lowerRoman"/>
      <w:lvlText w:val="%9."/>
      <w:lvlJc w:val="right"/>
      <w:pPr>
        <w:ind w:left="6164" w:hanging="180"/>
      </w:pPr>
    </w:lvl>
  </w:abstractNum>
  <w:abstractNum w:abstractNumId="5" w15:restartNumberingAfterBreak="0">
    <w:nsid w:val="42A97DF5"/>
    <w:multiLevelType w:val="hybridMultilevel"/>
    <w:tmpl w:val="D0026DEE"/>
    <w:lvl w:ilvl="0" w:tplc="662C4306">
      <w:start w:val="1"/>
      <w:numFmt w:val="lowerLetter"/>
      <w:lvlText w:val="%1)"/>
      <w:lvlJc w:val="left"/>
      <w:pPr>
        <w:ind w:left="1854" w:hanging="720"/>
      </w:pPr>
      <w:rPr>
        <w:rFonts w:hint="default"/>
      </w:rPr>
    </w:lvl>
    <w:lvl w:ilvl="1" w:tplc="040F0019" w:tentative="1">
      <w:start w:val="1"/>
      <w:numFmt w:val="lowerLetter"/>
      <w:lvlText w:val="%2."/>
      <w:lvlJc w:val="left"/>
      <w:pPr>
        <w:ind w:left="2214" w:hanging="360"/>
      </w:pPr>
    </w:lvl>
    <w:lvl w:ilvl="2" w:tplc="040F001B" w:tentative="1">
      <w:start w:val="1"/>
      <w:numFmt w:val="lowerRoman"/>
      <w:lvlText w:val="%3."/>
      <w:lvlJc w:val="right"/>
      <w:pPr>
        <w:ind w:left="2934" w:hanging="180"/>
      </w:pPr>
    </w:lvl>
    <w:lvl w:ilvl="3" w:tplc="040F000F" w:tentative="1">
      <w:start w:val="1"/>
      <w:numFmt w:val="decimal"/>
      <w:lvlText w:val="%4."/>
      <w:lvlJc w:val="left"/>
      <w:pPr>
        <w:ind w:left="3654" w:hanging="360"/>
      </w:pPr>
    </w:lvl>
    <w:lvl w:ilvl="4" w:tplc="040F0019" w:tentative="1">
      <w:start w:val="1"/>
      <w:numFmt w:val="lowerLetter"/>
      <w:lvlText w:val="%5."/>
      <w:lvlJc w:val="left"/>
      <w:pPr>
        <w:ind w:left="4374" w:hanging="360"/>
      </w:pPr>
    </w:lvl>
    <w:lvl w:ilvl="5" w:tplc="040F001B" w:tentative="1">
      <w:start w:val="1"/>
      <w:numFmt w:val="lowerRoman"/>
      <w:lvlText w:val="%6."/>
      <w:lvlJc w:val="right"/>
      <w:pPr>
        <w:ind w:left="5094" w:hanging="180"/>
      </w:pPr>
    </w:lvl>
    <w:lvl w:ilvl="6" w:tplc="040F000F" w:tentative="1">
      <w:start w:val="1"/>
      <w:numFmt w:val="decimal"/>
      <w:lvlText w:val="%7."/>
      <w:lvlJc w:val="left"/>
      <w:pPr>
        <w:ind w:left="5814" w:hanging="360"/>
      </w:pPr>
    </w:lvl>
    <w:lvl w:ilvl="7" w:tplc="040F0019" w:tentative="1">
      <w:start w:val="1"/>
      <w:numFmt w:val="lowerLetter"/>
      <w:lvlText w:val="%8."/>
      <w:lvlJc w:val="left"/>
      <w:pPr>
        <w:ind w:left="6534" w:hanging="360"/>
      </w:pPr>
    </w:lvl>
    <w:lvl w:ilvl="8" w:tplc="040F001B" w:tentative="1">
      <w:start w:val="1"/>
      <w:numFmt w:val="lowerRoman"/>
      <w:lvlText w:val="%9."/>
      <w:lvlJc w:val="right"/>
      <w:pPr>
        <w:ind w:left="7254" w:hanging="180"/>
      </w:pPr>
    </w:lvl>
  </w:abstractNum>
  <w:abstractNum w:abstractNumId="6" w15:restartNumberingAfterBreak="0">
    <w:nsid w:val="47A36A19"/>
    <w:multiLevelType w:val="hybridMultilevel"/>
    <w:tmpl w:val="77D48A1C"/>
    <w:lvl w:ilvl="0" w:tplc="27D2FD8C">
      <w:start w:val="1"/>
      <w:numFmt w:val="lowerLetter"/>
      <w:lvlText w:val="%1)"/>
      <w:lvlJc w:val="left"/>
      <w:pPr>
        <w:ind w:left="716" w:hanging="690"/>
      </w:pPr>
      <w:rPr>
        <w:rFonts w:hint="default"/>
      </w:rPr>
    </w:lvl>
    <w:lvl w:ilvl="1" w:tplc="040F0019" w:tentative="1">
      <w:start w:val="1"/>
      <w:numFmt w:val="lowerLetter"/>
      <w:lvlText w:val="%2."/>
      <w:lvlJc w:val="left"/>
      <w:pPr>
        <w:ind w:left="1106" w:hanging="360"/>
      </w:pPr>
    </w:lvl>
    <w:lvl w:ilvl="2" w:tplc="040F001B" w:tentative="1">
      <w:start w:val="1"/>
      <w:numFmt w:val="lowerRoman"/>
      <w:lvlText w:val="%3."/>
      <w:lvlJc w:val="right"/>
      <w:pPr>
        <w:ind w:left="1826" w:hanging="180"/>
      </w:pPr>
    </w:lvl>
    <w:lvl w:ilvl="3" w:tplc="040F000F" w:tentative="1">
      <w:start w:val="1"/>
      <w:numFmt w:val="decimal"/>
      <w:lvlText w:val="%4."/>
      <w:lvlJc w:val="left"/>
      <w:pPr>
        <w:ind w:left="2546" w:hanging="360"/>
      </w:pPr>
    </w:lvl>
    <w:lvl w:ilvl="4" w:tplc="040F0019" w:tentative="1">
      <w:start w:val="1"/>
      <w:numFmt w:val="lowerLetter"/>
      <w:lvlText w:val="%5."/>
      <w:lvlJc w:val="left"/>
      <w:pPr>
        <w:ind w:left="3266" w:hanging="360"/>
      </w:pPr>
    </w:lvl>
    <w:lvl w:ilvl="5" w:tplc="040F001B" w:tentative="1">
      <w:start w:val="1"/>
      <w:numFmt w:val="lowerRoman"/>
      <w:lvlText w:val="%6."/>
      <w:lvlJc w:val="right"/>
      <w:pPr>
        <w:ind w:left="3986" w:hanging="180"/>
      </w:pPr>
    </w:lvl>
    <w:lvl w:ilvl="6" w:tplc="040F000F" w:tentative="1">
      <w:start w:val="1"/>
      <w:numFmt w:val="decimal"/>
      <w:lvlText w:val="%7."/>
      <w:lvlJc w:val="left"/>
      <w:pPr>
        <w:ind w:left="4706" w:hanging="360"/>
      </w:pPr>
    </w:lvl>
    <w:lvl w:ilvl="7" w:tplc="040F0019" w:tentative="1">
      <w:start w:val="1"/>
      <w:numFmt w:val="lowerLetter"/>
      <w:lvlText w:val="%8."/>
      <w:lvlJc w:val="left"/>
      <w:pPr>
        <w:ind w:left="5426" w:hanging="360"/>
      </w:pPr>
    </w:lvl>
    <w:lvl w:ilvl="8" w:tplc="040F001B" w:tentative="1">
      <w:start w:val="1"/>
      <w:numFmt w:val="lowerRoman"/>
      <w:lvlText w:val="%9."/>
      <w:lvlJc w:val="right"/>
      <w:pPr>
        <w:ind w:left="6146" w:hanging="180"/>
      </w:pPr>
    </w:lvl>
  </w:abstractNum>
  <w:abstractNum w:abstractNumId="7" w15:restartNumberingAfterBreak="0">
    <w:nsid w:val="53116F73"/>
    <w:multiLevelType w:val="multilevel"/>
    <w:tmpl w:val="B6743676"/>
    <w:lvl w:ilvl="0">
      <w:start w:val="1"/>
      <w:numFmt w:val="bullet"/>
      <w:lvlText w:val=""/>
      <w:lvlJc w:val="left"/>
      <w:pPr>
        <w:ind w:left="680"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0457D18"/>
    <w:multiLevelType w:val="hybridMultilevel"/>
    <w:tmpl w:val="C7C8DA12"/>
    <w:lvl w:ilvl="0" w:tplc="1E26F99E">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63620449"/>
    <w:multiLevelType w:val="hybridMultilevel"/>
    <w:tmpl w:val="25B04A6A"/>
    <w:lvl w:ilvl="0" w:tplc="91EA6C38">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6A080D2B"/>
    <w:multiLevelType w:val="hybridMultilevel"/>
    <w:tmpl w:val="BFE8996E"/>
    <w:lvl w:ilvl="0" w:tplc="BCACA198">
      <w:start w:val="1"/>
      <w:numFmt w:val="bullet"/>
      <w:pStyle w:val="InndregiFME"/>
      <w:lvlText w:val=""/>
      <w:lvlJc w:val="left"/>
      <w:pPr>
        <w:ind w:left="68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FF31D1"/>
    <w:multiLevelType w:val="hybridMultilevel"/>
    <w:tmpl w:val="77AA50C0"/>
    <w:lvl w:ilvl="0" w:tplc="7C7C454A">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7FD02FAB"/>
    <w:multiLevelType w:val="hybridMultilevel"/>
    <w:tmpl w:val="A4CCC57E"/>
    <w:lvl w:ilvl="0" w:tplc="6F9E9CB0">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0"/>
  </w:num>
  <w:num w:numId="5">
    <w:abstractNumId w:val="4"/>
  </w:num>
  <w:num w:numId="6">
    <w:abstractNumId w:val="2"/>
  </w:num>
  <w:num w:numId="7">
    <w:abstractNumId w:val="8"/>
  </w:num>
  <w:num w:numId="8">
    <w:abstractNumId w:val="9"/>
  </w:num>
  <w:num w:numId="9">
    <w:abstractNumId w:val="6"/>
  </w:num>
  <w:num w:numId="10">
    <w:abstractNumId w:val="1"/>
  </w:num>
  <w:num w:numId="11">
    <w:abstractNumId w:val="1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autoHyphenation/>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312"/>
    <w:rsid w:val="00004000"/>
    <w:rsid w:val="000117D6"/>
    <w:rsid w:val="000472F2"/>
    <w:rsid w:val="00070AC5"/>
    <w:rsid w:val="00071910"/>
    <w:rsid w:val="0008056E"/>
    <w:rsid w:val="000969A7"/>
    <w:rsid w:val="000C4A85"/>
    <w:rsid w:val="000E3F84"/>
    <w:rsid w:val="00110951"/>
    <w:rsid w:val="00112D07"/>
    <w:rsid w:val="00115C50"/>
    <w:rsid w:val="00145496"/>
    <w:rsid w:val="0015527B"/>
    <w:rsid w:val="00166A8A"/>
    <w:rsid w:val="00173F0B"/>
    <w:rsid w:val="001900B4"/>
    <w:rsid w:val="001A4B41"/>
    <w:rsid w:val="001C014B"/>
    <w:rsid w:val="001E5E3E"/>
    <w:rsid w:val="00221F37"/>
    <w:rsid w:val="002341B5"/>
    <w:rsid w:val="0023476A"/>
    <w:rsid w:val="0027081A"/>
    <w:rsid w:val="002776DC"/>
    <w:rsid w:val="00282CF3"/>
    <w:rsid w:val="0028302D"/>
    <w:rsid w:val="002834C2"/>
    <w:rsid w:val="002A63D2"/>
    <w:rsid w:val="002B21E3"/>
    <w:rsid w:val="002C14F6"/>
    <w:rsid w:val="002C1F03"/>
    <w:rsid w:val="002C4DEE"/>
    <w:rsid w:val="002D383E"/>
    <w:rsid w:val="002D5752"/>
    <w:rsid w:val="002E239D"/>
    <w:rsid w:val="002E73A5"/>
    <w:rsid w:val="0034708D"/>
    <w:rsid w:val="003530CE"/>
    <w:rsid w:val="0037551E"/>
    <w:rsid w:val="0038196C"/>
    <w:rsid w:val="003A6ACB"/>
    <w:rsid w:val="003B26F8"/>
    <w:rsid w:val="003B7EF8"/>
    <w:rsid w:val="00400584"/>
    <w:rsid w:val="00413341"/>
    <w:rsid w:val="00453322"/>
    <w:rsid w:val="00472427"/>
    <w:rsid w:val="004B390F"/>
    <w:rsid w:val="004C2AD6"/>
    <w:rsid w:val="004F7A17"/>
    <w:rsid w:val="00501852"/>
    <w:rsid w:val="00553173"/>
    <w:rsid w:val="0059412F"/>
    <w:rsid w:val="005A29F9"/>
    <w:rsid w:val="005F58FF"/>
    <w:rsid w:val="00606C30"/>
    <w:rsid w:val="00616F56"/>
    <w:rsid w:val="00620C4C"/>
    <w:rsid w:val="00625694"/>
    <w:rsid w:val="00646C80"/>
    <w:rsid w:val="006743E4"/>
    <w:rsid w:val="006A09C0"/>
    <w:rsid w:val="006C5373"/>
    <w:rsid w:val="006C6CCD"/>
    <w:rsid w:val="006C70F2"/>
    <w:rsid w:val="006D7F78"/>
    <w:rsid w:val="006F4DC8"/>
    <w:rsid w:val="00706462"/>
    <w:rsid w:val="00737D2D"/>
    <w:rsid w:val="00753BAC"/>
    <w:rsid w:val="00760BE8"/>
    <w:rsid w:val="00783EA2"/>
    <w:rsid w:val="007B0B36"/>
    <w:rsid w:val="007B4FD3"/>
    <w:rsid w:val="007B5B30"/>
    <w:rsid w:val="007E461F"/>
    <w:rsid w:val="007F6312"/>
    <w:rsid w:val="008102DF"/>
    <w:rsid w:val="00843318"/>
    <w:rsid w:val="00852758"/>
    <w:rsid w:val="00884E14"/>
    <w:rsid w:val="008B67C7"/>
    <w:rsid w:val="008D2569"/>
    <w:rsid w:val="008E55E0"/>
    <w:rsid w:val="00911C1E"/>
    <w:rsid w:val="00931E85"/>
    <w:rsid w:val="00934E11"/>
    <w:rsid w:val="0096481A"/>
    <w:rsid w:val="009B6F21"/>
    <w:rsid w:val="009C2663"/>
    <w:rsid w:val="009D0B31"/>
    <w:rsid w:val="009D541A"/>
    <w:rsid w:val="00A0734C"/>
    <w:rsid w:val="00A51945"/>
    <w:rsid w:val="00A6629E"/>
    <w:rsid w:val="00AF617B"/>
    <w:rsid w:val="00B271B8"/>
    <w:rsid w:val="00B724CE"/>
    <w:rsid w:val="00B75D56"/>
    <w:rsid w:val="00B851E6"/>
    <w:rsid w:val="00BC4587"/>
    <w:rsid w:val="00BF72D5"/>
    <w:rsid w:val="00C50053"/>
    <w:rsid w:val="00C5268A"/>
    <w:rsid w:val="00C7686E"/>
    <w:rsid w:val="00C809E8"/>
    <w:rsid w:val="00CB34D8"/>
    <w:rsid w:val="00CD20EA"/>
    <w:rsid w:val="00CE7864"/>
    <w:rsid w:val="00CF771D"/>
    <w:rsid w:val="00D16F4E"/>
    <w:rsid w:val="00D6147D"/>
    <w:rsid w:val="00D70593"/>
    <w:rsid w:val="00D94D99"/>
    <w:rsid w:val="00DB324A"/>
    <w:rsid w:val="00DD0627"/>
    <w:rsid w:val="00DE116E"/>
    <w:rsid w:val="00DF0B2D"/>
    <w:rsid w:val="00E272DD"/>
    <w:rsid w:val="00E62101"/>
    <w:rsid w:val="00E81BDD"/>
    <w:rsid w:val="00E8597A"/>
    <w:rsid w:val="00E90779"/>
    <w:rsid w:val="00EB023C"/>
    <w:rsid w:val="00EB1F15"/>
    <w:rsid w:val="00EB2C0B"/>
    <w:rsid w:val="00EF0CBF"/>
    <w:rsid w:val="00EF7920"/>
    <w:rsid w:val="00F256B2"/>
    <w:rsid w:val="00F54F76"/>
    <w:rsid w:val="00F72C3C"/>
    <w:rsid w:val="00F75224"/>
    <w:rsid w:val="00FA026D"/>
    <w:rsid w:val="00FC7D1D"/>
    <w:rsid w:val="00FE7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0219D3FC-1CAA-45AB-B15A-F7141BC1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rsid w:val="006C5373"/>
    <w:pPr>
      <w:keepNext/>
      <w:keepLines/>
      <w:spacing w:before="240"/>
      <w:outlineLvl w:val="0"/>
    </w:pPr>
    <w:rPr>
      <w:rFonts w:asciiTheme="majorHAnsi" w:eastAsiaTheme="majorEastAsia" w:hAnsiTheme="majorHAnsi" w:cstheme="majorBidi"/>
      <w:color w:val="929294" w:themeColor="accent1" w:themeShade="BF"/>
      <w:sz w:val="32"/>
      <w:szCs w:val="32"/>
    </w:rPr>
  </w:style>
  <w:style w:type="paragraph" w:styleId="Heading2">
    <w:name w:val="heading 2"/>
    <w:basedOn w:val="Normal"/>
    <w:next w:val="Normal"/>
    <w:link w:val="Heading2Char"/>
    <w:uiPriority w:val="9"/>
    <w:unhideWhenUsed/>
    <w:qFormat/>
    <w:rsid w:val="00CF771D"/>
    <w:pPr>
      <w:keepNext/>
      <w:keepLines/>
      <w:spacing w:before="40"/>
      <w:outlineLvl w:val="1"/>
    </w:pPr>
    <w:rPr>
      <w:rFonts w:asciiTheme="majorHAnsi" w:eastAsiaTheme="majorEastAsia" w:hAnsiTheme="majorHAnsi" w:cstheme="majorBidi"/>
      <w:color w:val="929294" w:themeColor="accent1" w:themeShade="BF"/>
      <w:sz w:val="26"/>
      <w:szCs w:val="26"/>
    </w:rPr>
  </w:style>
  <w:style w:type="paragraph" w:styleId="Heading3">
    <w:name w:val="heading 3"/>
    <w:basedOn w:val="Normal"/>
    <w:next w:val="Normal"/>
    <w:link w:val="Heading3Char"/>
    <w:uiPriority w:val="9"/>
    <w:unhideWhenUsed/>
    <w:qFormat/>
    <w:rsid w:val="0096481A"/>
    <w:pPr>
      <w:keepNext/>
      <w:keepLines/>
      <w:spacing w:before="240" w:after="80" w:line="276" w:lineRule="auto"/>
      <w:ind w:left="720" w:hanging="720"/>
      <w:jc w:val="both"/>
      <w:outlineLvl w:val="2"/>
    </w:pPr>
    <w:rPr>
      <w:rFonts w:eastAsia="Times New Roman" w:cs="Times New Roman"/>
      <w:bCs/>
      <w:i/>
      <w:lang w:val="is-IS" w:eastAsia="ja-JP"/>
    </w:rPr>
  </w:style>
  <w:style w:type="paragraph" w:styleId="Heading4">
    <w:name w:val="heading 4"/>
    <w:basedOn w:val="Normal"/>
    <w:next w:val="Normal"/>
    <w:link w:val="Heading4Char"/>
    <w:uiPriority w:val="9"/>
    <w:unhideWhenUsed/>
    <w:qFormat/>
    <w:rsid w:val="0096481A"/>
    <w:pPr>
      <w:keepNext/>
      <w:keepLines/>
      <w:spacing w:before="120" w:after="60" w:line="276" w:lineRule="auto"/>
      <w:ind w:left="864" w:hanging="864"/>
      <w:jc w:val="both"/>
      <w:outlineLvl w:val="3"/>
    </w:pPr>
    <w:rPr>
      <w:rFonts w:eastAsia="Times New Roman" w:cs="Times New Roman"/>
      <w:b/>
      <w:bCs/>
      <w:iCs/>
      <w:lang w:val="is-IS" w:eastAsia="ja-JP"/>
    </w:rPr>
  </w:style>
  <w:style w:type="paragraph" w:styleId="Heading5">
    <w:name w:val="heading 5"/>
    <w:basedOn w:val="Normal"/>
    <w:next w:val="Normal"/>
    <w:link w:val="Heading5Char"/>
    <w:uiPriority w:val="9"/>
    <w:unhideWhenUsed/>
    <w:qFormat/>
    <w:rsid w:val="0096481A"/>
    <w:pPr>
      <w:keepNext/>
      <w:keepLines/>
      <w:spacing w:before="120" w:line="276" w:lineRule="auto"/>
      <w:ind w:left="1008" w:hanging="1008"/>
      <w:jc w:val="both"/>
      <w:outlineLvl w:val="4"/>
    </w:pPr>
    <w:rPr>
      <w:rFonts w:eastAsia="Times New Roman" w:cs="Times New Roman"/>
      <w:b/>
      <w:lang w:val="is-IS" w:eastAsia="ja-JP"/>
    </w:rPr>
  </w:style>
  <w:style w:type="paragraph" w:styleId="Heading6">
    <w:name w:val="heading 6"/>
    <w:basedOn w:val="Normal"/>
    <w:next w:val="Normal"/>
    <w:link w:val="Heading6Char"/>
    <w:uiPriority w:val="9"/>
    <w:unhideWhenUsed/>
    <w:rsid w:val="0096481A"/>
    <w:pPr>
      <w:spacing w:line="271" w:lineRule="auto"/>
      <w:ind w:left="1152" w:hanging="1152"/>
      <w:jc w:val="both"/>
      <w:outlineLvl w:val="5"/>
    </w:pPr>
    <w:rPr>
      <w:rFonts w:eastAsia="Times New Roman" w:cs="Times New Roman"/>
      <w:bCs/>
      <w:iCs/>
      <w:color w:val="7F7F7F"/>
      <w:szCs w:val="22"/>
      <w:lang w:val="is-IS"/>
    </w:rPr>
  </w:style>
  <w:style w:type="paragraph" w:styleId="Heading7">
    <w:name w:val="heading 7"/>
    <w:basedOn w:val="Normal"/>
    <w:next w:val="Normal"/>
    <w:link w:val="Heading7Char"/>
    <w:uiPriority w:val="9"/>
    <w:unhideWhenUsed/>
    <w:rsid w:val="0096481A"/>
    <w:pPr>
      <w:spacing w:line="276" w:lineRule="auto"/>
      <w:ind w:left="1296" w:hanging="1296"/>
      <w:jc w:val="both"/>
      <w:outlineLvl w:val="6"/>
    </w:pPr>
    <w:rPr>
      <w:rFonts w:eastAsia="Times New Roman" w:cs="Times New Roman"/>
      <w:b/>
      <w:iCs/>
      <w:szCs w:val="22"/>
      <w:lang w:val="is-IS"/>
    </w:rPr>
  </w:style>
  <w:style w:type="paragraph" w:styleId="Heading8">
    <w:name w:val="heading 8"/>
    <w:basedOn w:val="Normal"/>
    <w:next w:val="Normal"/>
    <w:link w:val="Heading8Char"/>
    <w:uiPriority w:val="9"/>
    <w:unhideWhenUsed/>
    <w:rsid w:val="0096481A"/>
    <w:pPr>
      <w:spacing w:line="276" w:lineRule="auto"/>
      <w:ind w:left="1440" w:hanging="1440"/>
      <w:jc w:val="both"/>
      <w:outlineLvl w:val="7"/>
    </w:pPr>
    <w:rPr>
      <w:rFonts w:eastAsia="Times New Roman" w:cs="Times New Roman"/>
      <w:b/>
      <w:i/>
      <w:szCs w:val="20"/>
      <w:lang w:val="is-IS"/>
    </w:rPr>
  </w:style>
  <w:style w:type="paragraph" w:styleId="Heading9">
    <w:name w:val="heading 9"/>
    <w:basedOn w:val="Normal"/>
    <w:next w:val="Normal"/>
    <w:link w:val="Heading9Char"/>
    <w:uiPriority w:val="9"/>
    <w:unhideWhenUsed/>
    <w:rsid w:val="0096481A"/>
    <w:pPr>
      <w:spacing w:line="276" w:lineRule="auto"/>
      <w:ind w:left="1584" w:hanging="1584"/>
      <w:jc w:val="both"/>
      <w:outlineLvl w:val="8"/>
    </w:pPr>
    <w:rPr>
      <w:rFonts w:eastAsia="Times New Roman" w:cs="Times New Roman"/>
      <w:b/>
      <w:iCs/>
      <w:spacing w:val="5"/>
      <w:szCs w:val="20"/>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AD6"/>
    <w:pPr>
      <w:tabs>
        <w:tab w:val="center" w:pos="4680"/>
        <w:tab w:val="right" w:pos="9360"/>
      </w:tabs>
    </w:pPr>
  </w:style>
  <w:style w:type="character" w:customStyle="1" w:styleId="HeaderChar">
    <w:name w:val="Header Char"/>
    <w:basedOn w:val="DefaultParagraphFont"/>
    <w:link w:val="Header"/>
    <w:uiPriority w:val="99"/>
    <w:rsid w:val="004C2AD6"/>
  </w:style>
  <w:style w:type="paragraph" w:styleId="Footer">
    <w:name w:val="footer"/>
    <w:basedOn w:val="Normal"/>
    <w:link w:val="FooterChar"/>
    <w:uiPriority w:val="99"/>
    <w:unhideWhenUsed/>
    <w:rsid w:val="004C2AD6"/>
    <w:pPr>
      <w:tabs>
        <w:tab w:val="center" w:pos="4680"/>
        <w:tab w:val="right" w:pos="9360"/>
      </w:tabs>
    </w:pPr>
  </w:style>
  <w:style w:type="character" w:customStyle="1" w:styleId="FooterChar">
    <w:name w:val="Footer Char"/>
    <w:basedOn w:val="DefaultParagraphFont"/>
    <w:link w:val="Footer"/>
    <w:uiPriority w:val="99"/>
    <w:rsid w:val="004C2AD6"/>
  </w:style>
  <w:style w:type="paragraph" w:customStyle="1" w:styleId="Meginml">
    <w:name w:val="Meginmál"/>
    <w:basedOn w:val="BodyText"/>
    <w:qFormat/>
    <w:rsid w:val="007B4FD3"/>
    <w:pPr>
      <w:spacing w:line="280" w:lineRule="exact"/>
      <w:jc w:val="both"/>
    </w:pPr>
    <w:rPr>
      <w:rFonts w:ascii="Syntax LT Std" w:hAnsi="Syntax LT Std"/>
      <w:sz w:val="20"/>
    </w:rPr>
  </w:style>
  <w:style w:type="paragraph" w:styleId="BodyText">
    <w:name w:val="Body Text"/>
    <w:aliases w:val="FME meginmál"/>
    <w:basedOn w:val="Normal"/>
    <w:next w:val="Normal"/>
    <w:link w:val="BodyTextChar"/>
    <w:uiPriority w:val="99"/>
    <w:unhideWhenUsed/>
    <w:rsid w:val="008102DF"/>
    <w:pPr>
      <w:spacing w:after="120"/>
    </w:pPr>
  </w:style>
  <w:style w:type="character" w:customStyle="1" w:styleId="BodyTextChar">
    <w:name w:val="Body Text Char"/>
    <w:aliases w:val="FME meginmál Char"/>
    <w:basedOn w:val="DefaultParagraphFont"/>
    <w:link w:val="BodyText"/>
    <w:uiPriority w:val="99"/>
    <w:rsid w:val="008102DF"/>
    <w:rPr>
      <w:sz w:val="22"/>
    </w:rPr>
  </w:style>
  <w:style w:type="paragraph" w:customStyle="1" w:styleId="DagsetningFME">
    <w:name w:val="Dagsetning FME"/>
    <w:basedOn w:val="Meginml"/>
    <w:rsid w:val="00BF72D5"/>
    <w:pPr>
      <w:jc w:val="right"/>
    </w:pPr>
  </w:style>
  <w:style w:type="paragraph" w:customStyle="1" w:styleId="KaflafyrirsgnsvrtFME">
    <w:name w:val="Kaflafyrirsögn svört FME"/>
    <w:basedOn w:val="Meginml"/>
    <w:rsid w:val="00843318"/>
    <w:pPr>
      <w:spacing w:after="0"/>
    </w:pPr>
    <w:rPr>
      <w:b/>
      <w:sz w:val="28"/>
    </w:rPr>
  </w:style>
  <w:style w:type="paragraph" w:customStyle="1" w:styleId="FyrirsgnrauFMEbaratitill">
    <w:name w:val="Fyrirsögn rauð FME (bara titill)"/>
    <w:basedOn w:val="KaflafyrirsgnsvrtFME"/>
    <w:qFormat/>
    <w:rsid w:val="00A6629E"/>
    <w:pPr>
      <w:spacing w:before="240" w:after="360"/>
    </w:pPr>
    <w:rPr>
      <w:color w:val="940E05"/>
    </w:rPr>
  </w:style>
  <w:style w:type="paragraph" w:customStyle="1" w:styleId="MillifyrirsgnFME">
    <w:name w:val="Millifyrirsögn FME"/>
    <w:basedOn w:val="Heading2"/>
    <w:qFormat/>
    <w:rsid w:val="006C5373"/>
    <w:pPr>
      <w:spacing w:before="200" w:after="120"/>
    </w:pPr>
    <w:rPr>
      <w:rFonts w:ascii="Cambria" w:hAnsi="Cambria"/>
      <w:color w:val="auto"/>
      <w:sz w:val="22"/>
    </w:rPr>
  </w:style>
  <w:style w:type="paragraph" w:customStyle="1" w:styleId="NeanmlsgreinarFME">
    <w:name w:val="Neðanmálsgreinar FME"/>
    <w:basedOn w:val="KaflafyrirsgnsvrtFME"/>
    <w:qFormat/>
    <w:rsid w:val="003B7EF8"/>
    <w:pPr>
      <w:spacing w:line="200" w:lineRule="exact"/>
    </w:pPr>
    <w:rPr>
      <w:b w:val="0"/>
      <w:sz w:val="16"/>
    </w:rPr>
  </w:style>
  <w:style w:type="paragraph" w:customStyle="1" w:styleId="KaflaheitiFME">
    <w:name w:val="Kaflaheiti FME"/>
    <w:basedOn w:val="Heading1"/>
    <w:next w:val="Meginml"/>
    <w:qFormat/>
    <w:rsid w:val="00D6147D"/>
    <w:pPr>
      <w:spacing w:before="120" w:after="200" w:line="290" w:lineRule="exact"/>
      <w:jc w:val="center"/>
    </w:pPr>
    <w:rPr>
      <w:rFonts w:ascii="Syntax LT Std" w:hAnsi="Syntax LT Std"/>
      <w:color w:val="auto"/>
      <w:sz w:val="24"/>
    </w:rPr>
  </w:style>
  <w:style w:type="paragraph" w:customStyle="1" w:styleId="InndregiFME">
    <w:name w:val="Inndregið FME"/>
    <w:basedOn w:val="Meginml"/>
    <w:qFormat/>
    <w:rsid w:val="00D94D99"/>
    <w:pPr>
      <w:numPr>
        <w:numId w:val="1"/>
      </w:numPr>
    </w:pPr>
    <w:rPr>
      <w:lang w:val="is-IS"/>
    </w:rPr>
  </w:style>
  <w:style w:type="paragraph" w:customStyle="1" w:styleId="TitillrauurFME">
    <w:name w:val="Titill rauður FME"/>
    <w:basedOn w:val="FyrirsgnrauFMEbaratitill"/>
    <w:rsid w:val="00646C80"/>
    <w:pPr>
      <w:spacing w:line="432" w:lineRule="exact"/>
    </w:pPr>
    <w:rPr>
      <w:sz w:val="36"/>
    </w:rPr>
  </w:style>
  <w:style w:type="character" w:customStyle="1" w:styleId="Heading2Char">
    <w:name w:val="Heading 2 Char"/>
    <w:basedOn w:val="DefaultParagraphFont"/>
    <w:link w:val="Heading2"/>
    <w:uiPriority w:val="9"/>
    <w:semiHidden/>
    <w:rsid w:val="00CF771D"/>
    <w:rPr>
      <w:rFonts w:asciiTheme="majorHAnsi" w:eastAsiaTheme="majorEastAsia" w:hAnsiTheme="majorHAnsi" w:cstheme="majorBidi"/>
      <w:color w:val="929294" w:themeColor="accent1" w:themeShade="BF"/>
      <w:sz w:val="26"/>
      <w:szCs w:val="26"/>
    </w:rPr>
  </w:style>
  <w:style w:type="paragraph" w:styleId="FootnoteText">
    <w:name w:val="footnote text"/>
    <w:basedOn w:val="Normal"/>
    <w:link w:val="FootnoteTextChar"/>
    <w:uiPriority w:val="99"/>
    <w:semiHidden/>
    <w:unhideWhenUsed/>
    <w:rsid w:val="003B7EF8"/>
    <w:rPr>
      <w:sz w:val="20"/>
      <w:szCs w:val="20"/>
    </w:rPr>
  </w:style>
  <w:style w:type="character" w:customStyle="1" w:styleId="FootnoteTextChar">
    <w:name w:val="Footnote Text Char"/>
    <w:basedOn w:val="DefaultParagraphFont"/>
    <w:link w:val="FootnoteText"/>
    <w:uiPriority w:val="99"/>
    <w:semiHidden/>
    <w:rsid w:val="003B7EF8"/>
    <w:rPr>
      <w:sz w:val="20"/>
      <w:szCs w:val="20"/>
    </w:rPr>
  </w:style>
  <w:style w:type="character" w:styleId="FootnoteReference">
    <w:name w:val="footnote reference"/>
    <w:basedOn w:val="DefaultParagraphFont"/>
    <w:uiPriority w:val="99"/>
    <w:semiHidden/>
    <w:unhideWhenUsed/>
    <w:rsid w:val="003B7EF8"/>
    <w:rPr>
      <w:vertAlign w:val="superscript"/>
    </w:rPr>
  </w:style>
  <w:style w:type="character" w:customStyle="1" w:styleId="Heading1Char">
    <w:name w:val="Heading 1 Char"/>
    <w:basedOn w:val="DefaultParagraphFont"/>
    <w:link w:val="Heading1"/>
    <w:uiPriority w:val="9"/>
    <w:rsid w:val="006C5373"/>
    <w:rPr>
      <w:rFonts w:asciiTheme="majorHAnsi" w:eastAsiaTheme="majorEastAsia" w:hAnsiTheme="majorHAnsi" w:cstheme="majorBidi"/>
      <w:color w:val="929294" w:themeColor="accent1" w:themeShade="BF"/>
      <w:sz w:val="32"/>
      <w:szCs w:val="32"/>
    </w:rPr>
  </w:style>
  <w:style w:type="table" w:styleId="TableGrid">
    <w:name w:val="Table Grid"/>
    <w:basedOn w:val="TableNormal"/>
    <w:uiPriority w:val="39"/>
    <w:rsid w:val="007F6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8597A"/>
    <w:rPr>
      <w:color w:val="808080"/>
    </w:rPr>
  </w:style>
  <w:style w:type="character" w:customStyle="1" w:styleId="Heading3Char">
    <w:name w:val="Heading 3 Char"/>
    <w:basedOn w:val="DefaultParagraphFont"/>
    <w:link w:val="Heading3"/>
    <w:uiPriority w:val="9"/>
    <w:rsid w:val="0096481A"/>
    <w:rPr>
      <w:rFonts w:eastAsia="Times New Roman" w:cs="Times New Roman"/>
      <w:bCs/>
      <w:i/>
      <w:lang w:val="is-IS" w:eastAsia="ja-JP"/>
    </w:rPr>
  </w:style>
  <w:style w:type="character" w:customStyle="1" w:styleId="Heading4Char">
    <w:name w:val="Heading 4 Char"/>
    <w:basedOn w:val="DefaultParagraphFont"/>
    <w:link w:val="Heading4"/>
    <w:uiPriority w:val="9"/>
    <w:rsid w:val="0096481A"/>
    <w:rPr>
      <w:rFonts w:eastAsia="Times New Roman" w:cs="Times New Roman"/>
      <w:b/>
      <w:bCs/>
      <w:iCs/>
      <w:lang w:val="is-IS" w:eastAsia="ja-JP"/>
    </w:rPr>
  </w:style>
  <w:style w:type="character" w:customStyle="1" w:styleId="Heading5Char">
    <w:name w:val="Heading 5 Char"/>
    <w:basedOn w:val="DefaultParagraphFont"/>
    <w:link w:val="Heading5"/>
    <w:uiPriority w:val="9"/>
    <w:rsid w:val="0096481A"/>
    <w:rPr>
      <w:rFonts w:eastAsia="Times New Roman" w:cs="Times New Roman"/>
      <w:b/>
      <w:lang w:val="is-IS" w:eastAsia="ja-JP"/>
    </w:rPr>
  </w:style>
  <w:style w:type="character" w:customStyle="1" w:styleId="Heading6Char">
    <w:name w:val="Heading 6 Char"/>
    <w:basedOn w:val="DefaultParagraphFont"/>
    <w:link w:val="Heading6"/>
    <w:uiPriority w:val="9"/>
    <w:rsid w:val="0096481A"/>
    <w:rPr>
      <w:rFonts w:eastAsia="Times New Roman" w:cs="Times New Roman"/>
      <w:bCs/>
      <w:iCs/>
      <w:color w:val="7F7F7F"/>
      <w:szCs w:val="22"/>
      <w:lang w:val="is-IS"/>
    </w:rPr>
  </w:style>
  <w:style w:type="character" w:customStyle="1" w:styleId="Heading7Char">
    <w:name w:val="Heading 7 Char"/>
    <w:basedOn w:val="DefaultParagraphFont"/>
    <w:link w:val="Heading7"/>
    <w:uiPriority w:val="9"/>
    <w:rsid w:val="0096481A"/>
    <w:rPr>
      <w:rFonts w:eastAsia="Times New Roman" w:cs="Times New Roman"/>
      <w:b/>
      <w:iCs/>
      <w:szCs w:val="22"/>
      <w:lang w:val="is-IS"/>
    </w:rPr>
  </w:style>
  <w:style w:type="character" w:customStyle="1" w:styleId="Heading8Char">
    <w:name w:val="Heading 8 Char"/>
    <w:basedOn w:val="DefaultParagraphFont"/>
    <w:link w:val="Heading8"/>
    <w:uiPriority w:val="9"/>
    <w:rsid w:val="0096481A"/>
    <w:rPr>
      <w:rFonts w:eastAsia="Times New Roman" w:cs="Times New Roman"/>
      <w:b/>
      <w:i/>
      <w:szCs w:val="20"/>
      <w:lang w:val="is-IS"/>
    </w:rPr>
  </w:style>
  <w:style w:type="character" w:customStyle="1" w:styleId="Heading9Char">
    <w:name w:val="Heading 9 Char"/>
    <w:basedOn w:val="DefaultParagraphFont"/>
    <w:link w:val="Heading9"/>
    <w:uiPriority w:val="9"/>
    <w:rsid w:val="0096481A"/>
    <w:rPr>
      <w:rFonts w:eastAsia="Times New Roman" w:cs="Times New Roman"/>
      <w:b/>
      <w:iCs/>
      <w:spacing w:val="5"/>
      <w:szCs w:val="20"/>
      <w:lang w:val="is-IS"/>
    </w:rPr>
  </w:style>
  <w:style w:type="paragraph" w:customStyle="1" w:styleId="AnnexTI">
    <w:name w:val="AnnexTI"/>
    <w:basedOn w:val="Normal"/>
    <w:rsid w:val="00B724CE"/>
    <w:pPr>
      <w:keepNext/>
      <w:keepLines/>
      <w:suppressAutoHyphens/>
      <w:spacing w:after="160" w:line="200" w:lineRule="exact"/>
      <w:jc w:val="center"/>
    </w:pPr>
    <w:rPr>
      <w:rFonts w:asciiTheme="minorHAnsi" w:eastAsiaTheme="minorEastAsia" w:hAnsiTheme="minorHAnsi"/>
      <w:b/>
      <w:sz w:val="16"/>
      <w:szCs w:val="22"/>
      <w:lang w:val="is-IS"/>
      <w14:ligatures w14:val="standard"/>
    </w:rPr>
  </w:style>
  <w:style w:type="paragraph" w:customStyle="1" w:styleId="TableTitle">
    <w:name w:val="TableTitle"/>
    <w:basedOn w:val="Normal"/>
    <w:next w:val="Normal"/>
    <w:rsid w:val="00B724CE"/>
    <w:pPr>
      <w:keepNext/>
      <w:spacing w:after="120" w:line="240" w:lineRule="exact"/>
      <w:jc w:val="both"/>
    </w:pPr>
    <w:rPr>
      <w:rFonts w:ascii="Times New Roman" w:eastAsiaTheme="minorEastAsia" w:hAnsi="Times New Roman"/>
      <w:b/>
      <w:i/>
      <w:sz w:val="18"/>
      <w:szCs w:val="22"/>
      <w:lang w:val="is-IS"/>
      <w14:ligatures w14:val="standard"/>
    </w:rPr>
  </w:style>
  <w:style w:type="table" w:customStyle="1" w:styleId="EFTATable">
    <w:name w:val="EFTATable"/>
    <w:basedOn w:val="TableNormal"/>
    <w:uiPriority w:val="99"/>
    <w:rsid w:val="001E5E3E"/>
    <w:pPr>
      <w:spacing w:line="200" w:lineRule="exact"/>
    </w:pPr>
    <w:rPr>
      <w:rFonts w:ascii="Times New Roman" w:eastAsiaTheme="minorEastAsia" w:hAnsi="Times New Roman"/>
      <w:b/>
      <w:i/>
      <w:sz w:val="16"/>
      <w:szCs w:val="22"/>
      <w:lang w:val="is-IS"/>
    </w:rPr>
    <w:tblPr>
      <w:tblBorders>
        <w:top w:val="single" w:sz="4" w:space="0" w:color="auto"/>
        <w:bottom w:val="single" w:sz="4" w:space="0" w:color="auto"/>
        <w:insideH w:val="single" w:sz="4" w:space="0" w:color="auto"/>
        <w:insideV w:val="single" w:sz="4" w:space="0" w:color="auto"/>
      </w:tblBorders>
      <w:tblCellMar>
        <w:top w:w="20" w:type="dxa"/>
        <w:left w:w="40" w:type="dxa"/>
        <w:bottom w:w="20" w:type="dxa"/>
        <w:right w:w="40" w:type="dxa"/>
      </w:tblCellMar>
    </w:tblPr>
  </w:style>
  <w:style w:type="paragraph" w:customStyle="1" w:styleId="AnnexNumberedText">
    <w:name w:val="AnnexNumberedText"/>
    <w:basedOn w:val="Normal"/>
    <w:rsid w:val="001E5E3E"/>
    <w:pPr>
      <w:spacing w:after="120" w:line="259" w:lineRule="auto"/>
      <w:ind w:left="280" w:hanging="280"/>
    </w:pPr>
    <w:rPr>
      <w:rFonts w:asciiTheme="minorHAnsi" w:eastAsiaTheme="minorEastAsia" w:hAnsiTheme="minorHAnsi"/>
      <w:b/>
      <w:i/>
      <w:szCs w:val="22"/>
      <w:lang w:val="is-IS"/>
      <w14:ligatures w14:val="standard"/>
    </w:rPr>
  </w:style>
  <w:style w:type="paragraph" w:customStyle="1" w:styleId="AnnexTableCellLeft">
    <w:name w:val="AnnexTableCellLeft"/>
    <w:basedOn w:val="Para"/>
    <w:rsid w:val="001E5E3E"/>
    <w:pPr>
      <w:spacing w:after="0"/>
    </w:pPr>
  </w:style>
  <w:style w:type="paragraph" w:customStyle="1" w:styleId="Para">
    <w:name w:val="Para"/>
    <w:rsid w:val="001E5E3E"/>
    <w:pPr>
      <w:spacing w:after="200" w:line="240" w:lineRule="exact"/>
      <w:jc w:val="both"/>
    </w:pPr>
    <w:rPr>
      <w:rFonts w:ascii="Times New Roman" w:eastAsiaTheme="minorEastAsia" w:hAnsi="Times New Roman"/>
      <w:b/>
      <w:i/>
      <w:sz w:val="18"/>
      <w:szCs w:val="22"/>
      <w:lang w:val="is-IS"/>
      <w14:ligatures w14:val="standard"/>
    </w:rPr>
  </w:style>
  <w:style w:type="paragraph" w:customStyle="1" w:styleId="Tflutexti">
    <w:name w:val="Töflutexti"/>
    <w:basedOn w:val="Meginml"/>
    <w:rsid w:val="007B5B30"/>
    <w:pPr>
      <w:spacing w:before="120" w:line="200" w:lineRule="exact"/>
    </w:pPr>
    <w:rPr>
      <w:rFonts w:eastAsiaTheme="minorEastAsia"/>
      <w:sz w:val="16"/>
      <w:szCs w:val="22"/>
      <w:lang w:val="is-IS"/>
    </w:rPr>
  </w:style>
  <w:style w:type="paragraph" w:styleId="NoSpacing">
    <w:name w:val="No Spacing"/>
    <w:uiPriority w:val="1"/>
    <w:rsid w:val="00A07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s\Minnisbla&#240;tileiginnota.dotx" TargetMode="External"/></Relationships>
</file>

<file path=word/theme/theme1.xml><?xml version="1.0" encoding="utf-8"?>
<a:theme xmlns:a="http://schemas.openxmlformats.org/drawingml/2006/main" name="Office Theme">
  <a:themeElements>
    <a:clrScheme name="FME litir">
      <a:dk1>
        <a:sysClr val="windowText" lastClr="000000"/>
      </a:dk1>
      <a:lt1>
        <a:srgbClr val="FFFFFF"/>
      </a:lt1>
      <a:dk2>
        <a:srgbClr val="940E05"/>
      </a:dk2>
      <a:lt2>
        <a:srgbClr val="626262"/>
      </a:lt2>
      <a:accent1>
        <a:srgbClr val="C4C4C5"/>
      </a:accent1>
      <a:accent2>
        <a:srgbClr val="B0BB2F"/>
      </a:accent2>
      <a:accent3>
        <a:srgbClr val="2C9ADC"/>
      </a:accent3>
      <a:accent4>
        <a:srgbClr val="005580"/>
      </a:accent4>
      <a:accent5>
        <a:srgbClr val="EC6B10"/>
      </a:accent5>
      <a:accent6>
        <a:srgbClr val="E1DECF"/>
      </a:accent6>
      <a:hlink>
        <a:srgbClr val="505D70"/>
      </a:hlink>
      <a:folHlink>
        <a:srgbClr val="505D7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6F0C5D9-F8FC-48C7-961C-95D2701B6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Minnisblaðtileiginnota</Template>
  <TotalTime>9</TotalTime>
  <Pages>5</Pages>
  <Words>2471</Words>
  <Characters>14090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Fjármálaeftirlit</Company>
  <LinksUpToDate>false</LinksUpToDate>
  <CharactersWithSpaces>16528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FME Bjarki Vigfússon</dc:creator>
  <cp:keywords/>
  <dc:description/>
  <cp:lastModifiedBy>SÍ Elsa Karen Jónasdóttir</cp:lastModifiedBy>
  <cp:revision>7</cp:revision>
  <cp:lastPrinted>2020-02-10T13:55:00Z</cp:lastPrinted>
  <dcterms:created xsi:type="dcterms:W3CDTF">2020-04-07T13:19:00Z</dcterms:created>
  <dcterms:modified xsi:type="dcterms:W3CDTF">2020-05-05T08:42:00Z</dcterms:modified>
</cp:coreProperties>
</file>