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E" w:rsidRPr="005B779A" w:rsidRDefault="00580C75" w:rsidP="00B724CE">
      <w:pPr>
        <w:pStyle w:val="FyrirsgnrauFMEbaratitill"/>
        <w:spacing w:after="120"/>
        <w:jc w:val="center"/>
        <w:rPr>
          <w:rFonts w:ascii="Times New Roman" w:hAnsi="Times New Roman" w:cs="Times New Roman"/>
          <w:color w:val="000000" w:themeColor="text1"/>
          <w:lang w:val="is-IS"/>
        </w:rPr>
      </w:pPr>
      <w:r w:rsidRPr="005B779A">
        <w:rPr>
          <w:rFonts w:ascii="Times New Roman" w:hAnsi="Times New Roman" w:cs="Times New Roman"/>
          <w:color w:val="000000" w:themeColor="text1"/>
          <w:lang w:val="is-IS"/>
        </w:rPr>
        <w:t>2</w:t>
      </w:r>
      <w:r w:rsidR="00855DF9" w:rsidRPr="005B779A">
        <w:rPr>
          <w:rFonts w:ascii="Times New Roman" w:hAnsi="Times New Roman" w:cs="Times New Roman"/>
          <w:color w:val="000000" w:themeColor="text1"/>
          <w:lang w:val="is-IS"/>
        </w:rPr>
        <w:t>3</w:t>
      </w:r>
      <w:r w:rsidR="00B724CE" w:rsidRPr="005B779A">
        <w:rPr>
          <w:rFonts w:ascii="Times New Roman" w:hAnsi="Times New Roman" w:cs="Times New Roman"/>
          <w:color w:val="000000" w:themeColor="text1"/>
          <w:lang w:val="is-IS"/>
        </w:rPr>
        <w:t>. VIÐAUKI</w:t>
      </w:r>
    </w:p>
    <w:p w:rsidR="008E1516" w:rsidRPr="005B779A" w:rsidRDefault="008E1516" w:rsidP="008E1516">
      <w:pPr>
        <w:pStyle w:val="Meginml"/>
        <w:jc w:val="center"/>
        <w:rPr>
          <w:rFonts w:ascii="Times New Roman" w:hAnsi="Times New Roman" w:cs="Times New Roman"/>
          <w:sz w:val="24"/>
        </w:rPr>
      </w:pPr>
      <w:r w:rsidRPr="005B779A">
        <w:rPr>
          <w:rFonts w:ascii="Times New Roman" w:hAnsi="Times New Roman" w:cs="Times New Roman"/>
          <w:sz w:val="24"/>
        </w:rPr>
        <w:t>SÉRTÆK SAMANTEKT FYRIR ESB-VAXTARLÝSINGU</w:t>
      </w:r>
    </w:p>
    <w:p w:rsidR="00F21758" w:rsidRPr="005B779A" w:rsidRDefault="00F21758" w:rsidP="00F21758">
      <w:pPr>
        <w:pStyle w:val="KaflaheitiFME"/>
        <w:jc w:val="center"/>
        <w:rPr>
          <w:rFonts w:ascii="Times New Roman" w:eastAsia="Times New Roman" w:hAnsi="Times New Roman" w:cs="Times New Roman"/>
          <w:sz w:val="20"/>
          <w:szCs w:val="20"/>
          <w:lang w:eastAsia="en-GB"/>
        </w:rPr>
      </w:pPr>
      <w:r w:rsidRPr="005B779A">
        <w:rPr>
          <w:rFonts w:ascii="Times New Roman" w:eastAsia="Times New Roman" w:hAnsi="Times New Roman" w:cs="Times New Roman"/>
          <w:sz w:val="20"/>
          <w:szCs w:val="20"/>
          <w:lang w:eastAsia="en-GB"/>
        </w:rPr>
        <w:t>FRAMSELD REGLUGERÐ FRAMKVÆMDASTJÓRNARINNAR</w:t>
      </w:r>
      <w:r w:rsidR="008E1516" w:rsidRPr="005B779A">
        <w:rPr>
          <w:rFonts w:ascii="Times New Roman" w:eastAsia="Times New Roman" w:hAnsi="Times New Roman" w:cs="Times New Roman"/>
          <w:sz w:val="20"/>
          <w:szCs w:val="20"/>
          <w:lang w:eastAsia="en-GB"/>
        </w:rPr>
        <w:t xml:space="preserve"> (ESB) 2019/980</w:t>
      </w:r>
    </w:p>
    <w:p w:rsidR="00264C96" w:rsidRPr="005B779A" w:rsidRDefault="00264C96" w:rsidP="00580C75">
      <w:pPr>
        <w:pStyle w:val="Meginml"/>
        <w:rPr>
          <w:rFonts w:ascii="Times New Roman" w:hAnsi="Times New Roman" w:cs="Times New Roman"/>
          <w:lang w:eastAsia="en-GB"/>
        </w:rPr>
      </w:pPr>
      <w:bookmarkStart w:id="0" w:name="_GoBack"/>
      <w:bookmarkEnd w:id="0"/>
    </w:p>
    <w:p w:rsidR="00580C75" w:rsidRPr="005B779A" w:rsidRDefault="00580C75" w:rsidP="00580C75">
      <w:pPr>
        <w:pStyle w:val="Meginml"/>
        <w:rPr>
          <w:rFonts w:ascii="Times New Roman" w:hAnsi="Times New Roman" w:cs="Times New Roman"/>
          <w:lang w:val="is-IS" w:eastAsia="en-GB"/>
        </w:rPr>
      </w:pPr>
      <w:r w:rsidRPr="005B779A">
        <w:rPr>
          <w:rFonts w:ascii="Times New Roman" w:hAnsi="Times New Roman" w:cs="Times New Roman"/>
          <w:lang w:val="is-IS" w:eastAsia="en-GB"/>
        </w:rPr>
        <w:t xml:space="preserve">Ef ósamræmi er á milli íslensks og ensks texta framseldrar reglugerðar framkvæmdastjórnarinnar </w:t>
      </w:r>
      <w:r w:rsidR="008E1516" w:rsidRPr="005B779A">
        <w:rPr>
          <w:rFonts w:ascii="Times New Roman" w:hAnsi="Times New Roman" w:cs="Times New Roman"/>
          <w:lang w:val="is-IS" w:eastAsia="en-GB"/>
        </w:rPr>
        <w:t>(ESB) 2019/980</w:t>
      </w:r>
      <w:r w:rsidRPr="005B779A">
        <w:rPr>
          <w:rFonts w:ascii="Times New Roman" w:hAnsi="Times New Roman" w:cs="Times New Roman"/>
          <w:lang w:val="is-IS" w:eastAsia="en-GB"/>
        </w:rPr>
        <w:t xml:space="preserve"> skal skýra íslenska textann með hliðsjón af enska textanum. Ef ósamræmi er á milli textans í þessu skjali og texta framseldrar reglugerðar fram</w:t>
      </w:r>
      <w:r w:rsidR="008E1516" w:rsidRPr="005B779A">
        <w:rPr>
          <w:rFonts w:ascii="Times New Roman" w:hAnsi="Times New Roman" w:cs="Times New Roman"/>
          <w:lang w:val="is-IS" w:eastAsia="en-GB"/>
        </w:rPr>
        <w:t>kvæmdastjórnarinnar (ESB) 2019/980</w:t>
      </w:r>
      <w:r w:rsidRPr="005B779A">
        <w:rPr>
          <w:rFonts w:ascii="Times New Roman" w:hAnsi="Times New Roman" w:cs="Times New Roman"/>
          <w:lang w:val="is-IS" w:eastAsia="en-GB"/>
        </w:rPr>
        <w:t xml:space="preserve"> er það texti reglu</w:t>
      </w:r>
      <w:r w:rsidR="00197F7E" w:rsidRPr="005B779A">
        <w:rPr>
          <w:rFonts w:ascii="Times New Roman" w:hAnsi="Times New Roman" w:cs="Times New Roman"/>
          <w:lang w:val="is-IS" w:eastAsia="en-GB"/>
        </w:rPr>
        <w:softHyphen/>
      </w:r>
      <w:r w:rsidRPr="005B779A">
        <w:rPr>
          <w:rFonts w:ascii="Times New Roman" w:hAnsi="Times New Roman" w:cs="Times New Roman"/>
          <w:lang w:val="is-IS" w:eastAsia="en-GB"/>
        </w:rPr>
        <w:t xml:space="preserve">gerðarinnar sem gildir. </w:t>
      </w:r>
    </w:p>
    <w:p w:rsidR="007B4FD3" w:rsidRPr="005B779A" w:rsidRDefault="007B4FD3" w:rsidP="00855DF9">
      <w:pPr>
        <w:pStyle w:val="Meginml"/>
        <w:rPr>
          <w:rFonts w:ascii="Times New Roman" w:hAnsi="Times New Roman" w:cs="Times New Roman"/>
          <w:sz w:val="18"/>
          <w:szCs w:val="18"/>
        </w:rPr>
      </w:pPr>
    </w:p>
    <w:tbl>
      <w:tblPr>
        <w:tblStyle w:val="TableGrid"/>
        <w:tblW w:w="9214" w:type="dxa"/>
        <w:tblBorders>
          <w:left w:val="none" w:sz="0" w:space="0" w:color="auto"/>
          <w:right w:val="none" w:sz="0" w:space="0" w:color="auto"/>
        </w:tblBorders>
        <w:tblLook w:val="04A0" w:firstRow="1" w:lastRow="0" w:firstColumn="1" w:lastColumn="0" w:noHBand="0" w:noVBand="1"/>
      </w:tblPr>
      <w:tblGrid>
        <w:gridCol w:w="851"/>
        <w:gridCol w:w="1134"/>
        <w:gridCol w:w="7229"/>
      </w:tblGrid>
      <w:tr w:rsidR="002F4DE5" w:rsidRPr="005B779A" w:rsidTr="00580C75">
        <w:trPr>
          <w:trHeight w:val="567"/>
        </w:trPr>
        <w:tc>
          <w:tcPr>
            <w:tcW w:w="851" w:type="dxa"/>
          </w:tcPr>
          <w:p w:rsidR="002F4DE5" w:rsidRPr="005B779A" w:rsidRDefault="002F4DE5" w:rsidP="00580C75">
            <w:pPr>
              <w:pStyle w:val="Tflutexti"/>
              <w:spacing w:after="0"/>
              <w:ind w:left="-12" w:right="-1"/>
              <w:jc w:val="left"/>
              <w:rPr>
                <w:rFonts w:ascii="Times New Roman" w:hAnsi="Times New Roman" w:cs="Times New Roman"/>
                <w:sz w:val="18"/>
                <w:szCs w:val="18"/>
              </w:rPr>
            </w:pPr>
            <w:r w:rsidRPr="005B779A">
              <w:rPr>
                <w:rFonts w:ascii="Times New Roman" w:hAnsi="Times New Roman" w:cs="Times New Roman"/>
                <w:sz w:val="18"/>
                <w:szCs w:val="18"/>
              </w:rPr>
              <w:t>Kafli nr.</w:t>
            </w:r>
          </w:p>
          <w:p w:rsidR="002F4DE5" w:rsidRPr="005B779A" w:rsidRDefault="002F4DE5" w:rsidP="00580C75">
            <w:pPr>
              <w:pStyle w:val="Tflutexti"/>
              <w:spacing w:before="0" w:line="240" w:lineRule="auto"/>
              <w:ind w:left="-12" w:right="-1"/>
              <w:jc w:val="left"/>
              <w:rPr>
                <w:rFonts w:ascii="Times New Roman" w:hAnsi="Times New Roman" w:cs="Times New Roman"/>
                <w:sz w:val="18"/>
                <w:szCs w:val="18"/>
              </w:rPr>
            </w:pPr>
            <w:r w:rsidRPr="005B779A">
              <w:rPr>
                <w:rFonts w:ascii="Times New Roman" w:hAnsi="Times New Roman" w:cs="Times New Roman"/>
                <w:sz w:val="18"/>
                <w:szCs w:val="18"/>
              </w:rPr>
              <w:t>Bls. nr.</w:t>
            </w:r>
          </w:p>
        </w:tc>
        <w:tc>
          <w:tcPr>
            <w:tcW w:w="1134" w:type="dxa"/>
          </w:tcPr>
          <w:p w:rsidR="002F4DE5" w:rsidRPr="005B779A" w:rsidRDefault="002F4DE5"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1. ÞÁTTUR</w:t>
            </w:r>
          </w:p>
        </w:tc>
        <w:tc>
          <w:tcPr>
            <w:tcW w:w="7229" w:type="dxa"/>
          </w:tcPr>
          <w:p w:rsidR="002F4DE5" w:rsidRPr="005B779A" w:rsidRDefault="00855DF9"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INNGANGUR</w:t>
            </w:r>
          </w:p>
        </w:tc>
      </w:tr>
      <w:tr w:rsidR="00580C75" w:rsidRPr="005B779A" w:rsidTr="00580C75">
        <w:trPr>
          <w:trHeight w:val="567"/>
        </w:trPr>
        <w:tc>
          <w:tcPr>
            <w:tcW w:w="851" w:type="dxa"/>
          </w:tcPr>
          <w:p w:rsidR="00580C75" w:rsidRPr="005B779A" w:rsidRDefault="00580C75" w:rsidP="00580C75">
            <w:pPr>
              <w:pStyle w:val="Tflutexti"/>
              <w:spacing w:after="0"/>
              <w:ind w:left="-12" w:right="-1"/>
              <w:jc w:val="left"/>
              <w:rPr>
                <w:rFonts w:ascii="Times New Roman" w:hAnsi="Times New Roman" w:cs="Times New Roman"/>
                <w:sz w:val="18"/>
                <w:szCs w:val="18"/>
              </w:rPr>
            </w:pPr>
          </w:p>
        </w:tc>
        <w:tc>
          <w:tcPr>
            <w:tcW w:w="1134" w:type="dxa"/>
          </w:tcPr>
          <w:p w:rsidR="00580C75" w:rsidRPr="005B779A" w:rsidRDefault="00580C75"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1.1.</w:t>
            </w:r>
          </w:p>
        </w:tc>
        <w:tc>
          <w:tcPr>
            <w:tcW w:w="7229" w:type="dxa"/>
          </w:tcPr>
          <w:p w:rsidR="00580C75" w:rsidRPr="005B779A" w:rsidRDefault="00855DF9" w:rsidP="00855DF9">
            <w:pPr>
              <w:pStyle w:val="Tflutexti"/>
              <w:rPr>
                <w:rFonts w:ascii="Times New Roman" w:hAnsi="Times New Roman" w:cs="Times New Roman"/>
                <w:sz w:val="18"/>
                <w:szCs w:val="18"/>
              </w:rPr>
            </w:pPr>
            <w:r w:rsidRPr="005B779A">
              <w:rPr>
                <w:rFonts w:ascii="Times New Roman" w:hAnsi="Times New Roman" w:cs="Times New Roman"/>
                <w:sz w:val="18"/>
                <w:szCs w:val="18"/>
              </w:rPr>
              <w:t>Heiti og alþjóðlegt auðkennisnúmer verðbréfa (ISIN-númer) verðbréfanna.</w:t>
            </w:r>
          </w:p>
        </w:tc>
      </w:tr>
      <w:tr w:rsidR="00580C75" w:rsidRPr="005B779A" w:rsidTr="00580C75">
        <w:trPr>
          <w:trHeight w:val="567"/>
        </w:trPr>
        <w:tc>
          <w:tcPr>
            <w:tcW w:w="851" w:type="dxa"/>
          </w:tcPr>
          <w:p w:rsidR="00580C75" w:rsidRPr="005B779A" w:rsidRDefault="00580C75" w:rsidP="00580C75">
            <w:pPr>
              <w:pStyle w:val="Tflutexti"/>
              <w:spacing w:after="0"/>
              <w:ind w:left="-12" w:right="-1"/>
              <w:jc w:val="left"/>
              <w:rPr>
                <w:rFonts w:ascii="Times New Roman" w:hAnsi="Times New Roman" w:cs="Times New Roman"/>
                <w:sz w:val="18"/>
                <w:szCs w:val="18"/>
              </w:rPr>
            </w:pPr>
          </w:p>
        </w:tc>
        <w:tc>
          <w:tcPr>
            <w:tcW w:w="1134" w:type="dxa"/>
          </w:tcPr>
          <w:p w:rsidR="00580C75" w:rsidRPr="005B779A" w:rsidRDefault="00855DF9"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1.2.</w:t>
            </w:r>
          </w:p>
        </w:tc>
        <w:tc>
          <w:tcPr>
            <w:tcW w:w="7229" w:type="dxa"/>
          </w:tcPr>
          <w:p w:rsidR="00580C75" w:rsidRPr="005B779A" w:rsidRDefault="00855DF9"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Deili á og samskiptaupplýsingar útgefanda, þ.m.t. auðkenni lögaðila (LEI-númer),</w:t>
            </w:r>
          </w:p>
        </w:tc>
      </w:tr>
      <w:tr w:rsidR="00580C75" w:rsidRPr="005B779A" w:rsidTr="00580C75">
        <w:trPr>
          <w:trHeight w:val="567"/>
        </w:trPr>
        <w:tc>
          <w:tcPr>
            <w:tcW w:w="851" w:type="dxa"/>
          </w:tcPr>
          <w:p w:rsidR="00580C75" w:rsidRPr="005B779A" w:rsidRDefault="00580C75" w:rsidP="00580C75">
            <w:pPr>
              <w:pStyle w:val="Tflutexti"/>
              <w:spacing w:after="0"/>
              <w:ind w:left="-12" w:right="-1"/>
              <w:jc w:val="left"/>
              <w:rPr>
                <w:rFonts w:ascii="Times New Roman" w:hAnsi="Times New Roman" w:cs="Times New Roman"/>
                <w:sz w:val="18"/>
                <w:szCs w:val="18"/>
              </w:rPr>
            </w:pPr>
          </w:p>
        </w:tc>
        <w:tc>
          <w:tcPr>
            <w:tcW w:w="1134" w:type="dxa"/>
          </w:tcPr>
          <w:p w:rsidR="00580C75" w:rsidRPr="005B779A" w:rsidRDefault="00855DF9"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1.3.</w:t>
            </w:r>
          </w:p>
        </w:tc>
        <w:tc>
          <w:tcPr>
            <w:tcW w:w="7229" w:type="dxa"/>
          </w:tcPr>
          <w:p w:rsidR="00580C75" w:rsidRPr="005B779A" w:rsidRDefault="00855DF9" w:rsidP="00056346">
            <w:pPr>
              <w:pStyle w:val="Tflutexti"/>
              <w:rPr>
                <w:rFonts w:ascii="Times New Roman" w:hAnsi="Times New Roman" w:cs="Times New Roman"/>
                <w:sz w:val="18"/>
                <w:szCs w:val="18"/>
              </w:rPr>
            </w:pPr>
            <w:r w:rsidRPr="005B779A">
              <w:rPr>
                <w:rFonts w:ascii="Times New Roman" w:hAnsi="Times New Roman" w:cs="Times New Roman"/>
                <w:sz w:val="18"/>
                <w:szCs w:val="18"/>
              </w:rPr>
              <w:t>Deili á og samskiptaupplýsingar þess lögbæra yfirvalds sem staðfesti lýsinguna og, sé það annað, þess lögbæra yfirvalds sem staðfesti útgefandalýsinguna.</w:t>
            </w:r>
          </w:p>
        </w:tc>
      </w:tr>
      <w:tr w:rsidR="00580C75" w:rsidRPr="005B779A" w:rsidTr="000A4005">
        <w:trPr>
          <w:trHeight w:val="567"/>
        </w:trPr>
        <w:tc>
          <w:tcPr>
            <w:tcW w:w="851" w:type="dxa"/>
            <w:tcBorders>
              <w:bottom w:val="single" w:sz="4" w:space="0" w:color="auto"/>
            </w:tcBorders>
          </w:tcPr>
          <w:p w:rsidR="00580C75" w:rsidRPr="005B779A" w:rsidRDefault="00580C75" w:rsidP="00580C75">
            <w:pPr>
              <w:pStyle w:val="Tflutexti"/>
              <w:spacing w:after="0"/>
              <w:ind w:left="-12" w:right="-1"/>
              <w:jc w:val="left"/>
              <w:rPr>
                <w:rFonts w:ascii="Times New Roman" w:hAnsi="Times New Roman" w:cs="Times New Roman"/>
                <w:sz w:val="18"/>
                <w:szCs w:val="18"/>
              </w:rPr>
            </w:pPr>
          </w:p>
        </w:tc>
        <w:tc>
          <w:tcPr>
            <w:tcW w:w="1134" w:type="dxa"/>
            <w:tcBorders>
              <w:bottom w:val="single" w:sz="4" w:space="0" w:color="auto"/>
            </w:tcBorders>
          </w:tcPr>
          <w:p w:rsidR="00580C75" w:rsidRPr="005B779A" w:rsidRDefault="00855DF9"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1.4.</w:t>
            </w:r>
          </w:p>
        </w:tc>
        <w:tc>
          <w:tcPr>
            <w:tcW w:w="7229" w:type="dxa"/>
            <w:tcBorders>
              <w:bottom w:val="single" w:sz="4" w:space="0" w:color="auto"/>
            </w:tcBorders>
          </w:tcPr>
          <w:p w:rsidR="00580C75" w:rsidRPr="005B779A" w:rsidRDefault="00855DF9" w:rsidP="00855DF9">
            <w:pPr>
              <w:pStyle w:val="Tflutexti"/>
              <w:rPr>
                <w:rFonts w:ascii="Times New Roman" w:hAnsi="Times New Roman" w:cs="Times New Roman"/>
                <w:sz w:val="18"/>
                <w:szCs w:val="18"/>
              </w:rPr>
            </w:pPr>
            <w:r w:rsidRPr="005B779A">
              <w:rPr>
                <w:rFonts w:ascii="Times New Roman" w:hAnsi="Times New Roman" w:cs="Times New Roman"/>
                <w:sz w:val="18"/>
                <w:szCs w:val="18"/>
              </w:rPr>
              <w:t>Dagsetning staðfestingar ESB-vaxtarlýsingar.</w:t>
            </w:r>
          </w:p>
        </w:tc>
      </w:tr>
      <w:tr w:rsidR="00580C75" w:rsidRPr="005B779A" w:rsidTr="000A4005">
        <w:trPr>
          <w:trHeight w:val="567"/>
        </w:trPr>
        <w:tc>
          <w:tcPr>
            <w:tcW w:w="851" w:type="dxa"/>
            <w:tcBorders>
              <w:bottom w:val="single" w:sz="4" w:space="0" w:color="auto"/>
            </w:tcBorders>
          </w:tcPr>
          <w:p w:rsidR="00580C75" w:rsidRPr="005B779A" w:rsidRDefault="00580C75" w:rsidP="00580C75">
            <w:pPr>
              <w:pStyle w:val="Tflutexti"/>
              <w:spacing w:after="0"/>
              <w:ind w:left="-12" w:right="-1"/>
              <w:jc w:val="left"/>
              <w:rPr>
                <w:rFonts w:ascii="Times New Roman" w:hAnsi="Times New Roman" w:cs="Times New Roman"/>
                <w:sz w:val="18"/>
                <w:szCs w:val="18"/>
              </w:rPr>
            </w:pPr>
          </w:p>
        </w:tc>
        <w:tc>
          <w:tcPr>
            <w:tcW w:w="1134" w:type="dxa"/>
            <w:tcBorders>
              <w:bottom w:val="single" w:sz="4" w:space="0" w:color="auto"/>
            </w:tcBorders>
          </w:tcPr>
          <w:p w:rsidR="00580C75" w:rsidRPr="005B779A" w:rsidRDefault="00855DF9"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1.5.</w:t>
            </w:r>
          </w:p>
          <w:p w:rsidR="00855DF9" w:rsidRPr="005B779A" w:rsidRDefault="00855DF9"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1.5.1.</w:t>
            </w:r>
          </w:p>
        </w:tc>
        <w:tc>
          <w:tcPr>
            <w:tcW w:w="7229" w:type="dxa"/>
            <w:tcBorders>
              <w:bottom w:val="single" w:sz="4" w:space="0" w:color="auto"/>
            </w:tcBorders>
          </w:tcPr>
          <w:p w:rsidR="00580C75" w:rsidRPr="005B779A" w:rsidRDefault="00855DF9" w:rsidP="00855DF9">
            <w:pPr>
              <w:pStyle w:val="Tflutexti"/>
              <w:rPr>
                <w:rFonts w:ascii="Times New Roman" w:hAnsi="Times New Roman" w:cs="Times New Roman"/>
                <w:sz w:val="18"/>
                <w:szCs w:val="18"/>
              </w:rPr>
            </w:pPr>
            <w:r w:rsidRPr="005B779A">
              <w:rPr>
                <w:rFonts w:ascii="Times New Roman" w:hAnsi="Times New Roman" w:cs="Times New Roman"/>
                <w:sz w:val="18"/>
                <w:szCs w:val="18"/>
              </w:rPr>
              <w:t>Varnaðarorð</w:t>
            </w:r>
          </w:p>
          <w:p w:rsidR="00855DF9" w:rsidRPr="005B779A" w:rsidRDefault="00855DF9" w:rsidP="00855DF9">
            <w:pPr>
              <w:pStyle w:val="Tflutexti"/>
              <w:rPr>
                <w:rFonts w:ascii="Times New Roman" w:hAnsi="Times New Roman" w:cs="Times New Roman"/>
                <w:sz w:val="18"/>
                <w:szCs w:val="18"/>
              </w:rPr>
            </w:pPr>
            <w:r w:rsidRPr="005B779A">
              <w:rPr>
                <w:rFonts w:ascii="Times New Roman" w:hAnsi="Times New Roman" w:cs="Times New Roman"/>
                <w:sz w:val="18"/>
                <w:szCs w:val="18"/>
              </w:rPr>
              <w:t>Yfirlýsingar útgefanda um eftirfarandi:</w:t>
            </w:r>
          </w:p>
          <w:p w:rsidR="00855DF9" w:rsidRPr="005B779A" w:rsidRDefault="00855DF9" w:rsidP="00855DF9">
            <w:pPr>
              <w:pStyle w:val="Tflutexti"/>
              <w:spacing w:after="0"/>
              <w:ind w:left="312" w:hanging="312"/>
              <w:rPr>
                <w:rFonts w:ascii="Times New Roman" w:hAnsi="Times New Roman" w:cs="Times New Roman"/>
                <w:sz w:val="18"/>
                <w:szCs w:val="18"/>
              </w:rPr>
            </w:pPr>
            <w:r w:rsidRPr="005B779A">
              <w:rPr>
                <w:rFonts w:ascii="Times New Roman" w:hAnsi="Times New Roman" w:cs="Times New Roman"/>
                <w:sz w:val="18"/>
                <w:szCs w:val="18"/>
              </w:rPr>
              <w:t>a)</w:t>
            </w:r>
            <w:r w:rsidRPr="005B779A">
              <w:rPr>
                <w:rFonts w:ascii="Times New Roman" w:hAnsi="Times New Roman" w:cs="Times New Roman"/>
                <w:sz w:val="18"/>
                <w:szCs w:val="18"/>
              </w:rPr>
              <w:tab/>
              <w:t>að samantektina ætti að lesa sem inngang að ESB-vaxtarlýsingunni og allar ákvarðanir um að fjár</w:t>
            </w:r>
            <w:r w:rsidR="00F774F1" w:rsidRPr="005B779A">
              <w:rPr>
                <w:rFonts w:ascii="Times New Roman" w:hAnsi="Times New Roman" w:cs="Times New Roman"/>
                <w:sz w:val="18"/>
                <w:szCs w:val="18"/>
              </w:rPr>
              <w:softHyphen/>
            </w:r>
            <w:r w:rsidRPr="005B779A">
              <w:rPr>
                <w:rFonts w:ascii="Times New Roman" w:hAnsi="Times New Roman" w:cs="Times New Roman"/>
                <w:sz w:val="18"/>
                <w:szCs w:val="18"/>
              </w:rPr>
              <w:t>festa í verðbréfunum ættu að byggjast á mati fjárfestisins á lýsingunni í heild,</w:t>
            </w:r>
          </w:p>
          <w:p w:rsidR="00855DF9" w:rsidRPr="005B779A" w:rsidRDefault="00855DF9" w:rsidP="00855DF9">
            <w:pPr>
              <w:pStyle w:val="Tflutexti"/>
              <w:spacing w:before="0" w:after="0"/>
              <w:ind w:left="312" w:hanging="312"/>
              <w:rPr>
                <w:rFonts w:ascii="Times New Roman" w:hAnsi="Times New Roman" w:cs="Times New Roman"/>
                <w:sz w:val="18"/>
                <w:szCs w:val="18"/>
              </w:rPr>
            </w:pPr>
            <w:r w:rsidRPr="005B779A">
              <w:rPr>
                <w:rFonts w:ascii="Times New Roman" w:hAnsi="Times New Roman" w:cs="Times New Roman"/>
                <w:sz w:val="18"/>
                <w:szCs w:val="18"/>
              </w:rPr>
              <w:t>b)</w:t>
            </w:r>
            <w:r w:rsidRPr="005B779A">
              <w:rPr>
                <w:rFonts w:ascii="Times New Roman" w:hAnsi="Times New Roman" w:cs="Times New Roman"/>
                <w:sz w:val="18"/>
                <w:szCs w:val="18"/>
              </w:rPr>
              <w:tab/>
              <w:t>eftir atvikum, að fjárfestirinn gæti tapað allri eða hluta af fjárfestingu sinni, og ef ábyrgð hans takmarkast ekki við verðmæti fjárfestingarinnar skal vara við því að hann gæti tapað meira en sem því nemur og tilgreina umfang slíks hugsanlegs taps,</w:t>
            </w:r>
          </w:p>
          <w:p w:rsidR="00855DF9" w:rsidRPr="005B779A" w:rsidRDefault="00855DF9" w:rsidP="00855DF9">
            <w:pPr>
              <w:pStyle w:val="Tflutexti"/>
              <w:spacing w:before="0" w:after="0"/>
              <w:ind w:left="312" w:hanging="312"/>
              <w:rPr>
                <w:rFonts w:ascii="Times New Roman" w:hAnsi="Times New Roman" w:cs="Times New Roman"/>
                <w:sz w:val="18"/>
                <w:szCs w:val="18"/>
              </w:rPr>
            </w:pPr>
            <w:r w:rsidRPr="005B779A">
              <w:rPr>
                <w:rFonts w:ascii="Times New Roman" w:hAnsi="Times New Roman" w:cs="Times New Roman"/>
                <w:sz w:val="18"/>
                <w:szCs w:val="18"/>
              </w:rPr>
              <w:t>c)</w:t>
            </w:r>
            <w:r w:rsidRPr="005B779A">
              <w:rPr>
                <w:rFonts w:ascii="Times New Roman" w:hAnsi="Times New Roman" w:cs="Times New Roman"/>
                <w:sz w:val="18"/>
                <w:szCs w:val="18"/>
              </w:rPr>
              <w:tab/>
              <w:t>að sé höfðað mál sem varðar upplýsingar í ESB-vaxtarlýsingu gæti fjárfestirinn sem stefnir þurft, samkvæmt landslögum aðildarríkjanna, að bera kostnað af þýðingu ESB-vaxtarlýsingarinnar áður en málarekstur hefst,</w:t>
            </w:r>
          </w:p>
          <w:p w:rsidR="00855DF9" w:rsidRPr="005B779A" w:rsidRDefault="00855DF9" w:rsidP="00855DF9">
            <w:pPr>
              <w:pStyle w:val="Tflutexti"/>
              <w:spacing w:before="0" w:after="0"/>
              <w:ind w:left="312" w:hanging="312"/>
              <w:rPr>
                <w:rFonts w:ascii="Times New Roman" w:hAnsi="Times New Roman" w:cs="Times New Roman"/>
                <w:sz w:val="18"/>
                <w:szCs w:val="18"/>
              </w:rPr>
            </w:pPr>
            <w:r w:rsidRPr="005B779A">
              <w:rPr>
                <w:rFonts w:ascii="Times New Roman" w:hAnsi="Times New Roman" w:cs="Times New Roman"/>
                <w:sz w:val="18"/>
                <w:szCs w:val="18"/>
              </w:rPr>
              <w:t>d)</w:t>
            </w:r>
            <w:r w:rsidRPr="005B779A">
              <w:rPr>
                <w:rFonts w:ascii="Times New Roman" w:hAnsi="Times New Roman" w:cs="Times New Roman"/>
                <w:sz w:val="18"/>
                <w:szCs w:val="18"/>
              </w:rPr>
              <w:tab/>
              <w:t xml:space="preserve">að einkaréttarábyrgð fellur eingöngu á þá aðila sem leggja fram samantektina, þ.m.t. þýðingu hennar, og einungis ef hún er villandi, ónákvæm eða </w:t>
            </w:r>
            <w:proofErr w:type="spellStart"/>
            <w:r w:rsidRPr="005B779A">
              <w:rPr>
                <w:rFonts w:ascii="Times New Roman" w:hAnsi="Times New Roman" w:cs="Times New Roman"/>
                <w:sz w:val="18"/>
                <w:szCs w:val="18"/>
              </w:rPr>
              <w:t>ósamræm</w:t>
            </w:r>
            <w:proofErr w:type="spellEnd"/>
            <w:r w:rsidRPr="005B779A">
              <w:rPr>
                <w:rFonts w:ascii="Times New Roman" w:hAnsi="Times New Roman" w:cs="Times New Roman"/>
                <w:sz w:val="18"/>
                <w:szCs w:val="18"/>
              </w:rPr>
              <w:t xml:space="preserve"> þegar hún er lesin ásamt öðrum hlutum ESB-vaxtarlýsingarinnar eða veitir ekki, þegar hún er lesin ásamt öðrum hlutum ESB-vaxtar</w:t>
            </w:r>
            <w:r w:rsidR="00F774F1" w:rsidRPr="005B779A">
              <w:rPr>
                <w:rFonts w:ascii="Times New Roman" w:hAnsi="Times New Roman" w:cs="Times New Roman"/>
                <w:sz w:val="18"/>
                <w:szCs w:val="18"/>
              </w:rPr>
              <w:softHyphen/>
            </w:r>
            <w:r w:rsidRPr="005B779A">
              <w:rPr>
                <w:rFonts w:ascii="Times New Roman" w:hAnsi="Times New Roman" w:cs="Times New Roman"/>
                <w:sz w:val="18"/>
                <w:szCs w:val="18"/>
              </w:rPr>
              <w:t>lýsingarinnar, lykilupplýsingar til aðstoðar fjárfestum þegar þeir íhuga að fjárfesta í slíkum verð</w:t>
            </w:r>
            <w:r w:rsidR="00F774F1" w:rsidRPr="005B779A">
              <w:rPr>
                <w:rFonts w:ascii="Times New Roman" w:hAnsi="Times New Roman" w:cs="Times New Roman"/>
                <w:sz w:val="18"/>
                <w:szCs w:val="18"/>
              </w:rPr>
              <w:softHyphen/>
            </w:r>
            <w:r w:rsidRPr="005B779A">
              <w:rPr>
                <w:rFonts w:ascii="Times New Roman" w:hAnsi="Times New Roman" w:cs="Times New Roman"/>
                <w:sz w:val="18"/>
                <w:szCs w:val="18"/>
              </w:rPr>
              <w:t>bréfum,</w:t>
            </w:r>
          </w:p>
          <w:p w:rsidR="00855DF9" w:rsidRPr="005B779A" w:rsidRDefault="00855DF9" w:rsidP="00855DF9">
            <w:pPr>
              <w:pStyle w:val="Tflutexti"/>
              <w:spacing w:before="0"/>
              <w:ind w:left="312" w:hanging="312"/>
              <w:rPr>
                <w:rFonts w:ascii="Times New Roman" w:hAnsi="Times New Roman" w:cs="Times New Roman"/>
                <w:sz w:val="18"/>
                <w:szCs w:val="18"/>
              </w:rPr>
            </w:pPr>
            <w:r w:rsidRPr="005B779A">
              <w:rPr>
                <w:rFonts w:ascii="Times New Roman" w:hAnsi="Times New Roman" w:cs="Times New Roman"/>
                <w:sz w:val="18"/>
                <w:szCs w:val="18"/>
              </w:rPr>
              <w:t>e)</w:t>
            </w:r>
            <w:r w:rsidRPr="005B779A">
              <w:rPr>
                <w:rFonts w:ascii="Times New Roman" w:hAnsi="Times New Roman" w:cs="Times New Roman"/>
                <w:sz w:val="18"/>
                <w:szCs w:val="18"/>
              </w:rPr>
              <w:tab/>
              <w:t>eftir atvikum, viðvörun um skilning sem krafist er í samræmi við b-lið í 3. mgr. 8. gr. reglugerðar (ESB) nr. 1286/2014.</w:t>
            </w:r>
          </w:p>
        </w:tc>
      </w:tr>
      <w:tr w:rsidR="00855DF9" w:rsidRPr="005B779A" w:rsidTr="00580C75">
        <w:trPr>
          <w:trHeight w:val="567"/>
        </w:trPr>
        <w:tc>
          <w:tcPr>
            <w:tcW w:w="851" w:type="dxa"/>
          </w:tcPr>
          <w:p w:rsidR="00855DF9" w:rsidRPr="005B779A" w:rsidRDefault="00855DF9" w:rsidP="00580C75">
            <w:pPr>
              <w:pStyle w:val="Tflutexti"/>
              <w:spacing w:after="0"/>
              <w:ind w:left="-12" w:right="-1"/>
              <w:jc w:val="left"/>
              <w:rPr>
                <w:rFonts w:ascii="Times New Roman" w:hAnsi="Times New Roman" w:cs="Times New Roman"/>
                <w:sz w:val="18"/>
                <w:szCs w:val="18"/>
              </w:rPr>
            </w:pPr>
          </w:p>
        </w:tc>
        <w:tc>
          <w:tcPr>
            <w:tcW w:w="1134" w:type="dxa"/>
          </w:tcPr>
          <w:p w:rsidR="00855DF9" w:rsidRPr="005B779A" w:rsidRDefault="00855DF9"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2. ÞÁTTUR</w:t>
            </w:r>
          </w:p>
        </w:tc>
        <w:tc>
          <w:tcPr>
            <w:tcW w:w="7229" w:type="dxa"/>
          </w:tcPr>
          <w:p w:rsidR="00855DF9" w:rsidRPr="005B779A" w:rsidRDefault="00855DF9" w:rsidP="00855DF9">
            <w:pPr>
              <w:pStyle w:val="Tflutexti"/>
              <w:rPr>
                <w:rFonts w:ascii="Times New Roman" w:hAnsi="Times New Roman" w:cs="Times New Roman"/>
                <w:sz w:val="18"/>
                <w:szCs w:val="18"/>
              </w:rPr>
            </w:pPr>
            <w:r w:rsidRPr="005B779A">
              <w:rPr>
                <w:rFonts w:ascii="Times New Roman" w:hAnsi="Times New Roman" w:cs="Times New Roman"/>
                <w:sz w:val="18"/>
                <w:szCs w:val="18"/>
              </w:rPr>
              <w:t>LYKILUPPLÝSINGAR UM ÚTGEFANDA</w:t>
            </w:r>
          </w:p>
        </w:tc>
      </w:tr>
      <w:tr w:rsidR="00855DF9" w:rsidRPr="005B779A" w:rsidTr="00580C75">
        <w:trPr>
          <w:trHeight w:val="567"/>
        </w:trPr>
        <w:tc>
          <w:tcPr>
            <w:tcW w:w="851" w:type="dxa"/>
          </w:tcPr>
          <w:p w:rsidR="00855DF9" w:rsidRPr="005B779A" w:rsidRDefault="00855DF9" w:rsidP="00580C75">
            <w:pPr>
              <w:pStyle w:val="Tflutexti"/>
              <w:spacing w:after="0"/>
              <w:ind w:left="-12" w:right="-1"/>
              <w:jc w:val="left"/>
              <w:rPr>
                <w:rFonts w:ascii="Times New Roman" w:hAnsi="Times New Roman" w:cs="Times New Roman"/>
                <w:sz w:val="18"/>
                <w:szCs w:val="18"/>
              </w:rPr>
            </w:pPr>
          </w:p>
        </w:tc>
        <w:tc>
          <w:tcPr>
            <w:tcW w:w="1134" w:type="dxa"/>
          </w:tcPr>
          <w:p w:rsidR="00855DF9" w:rsidRPr="005B779A" w:rsidRDefault="00855DF9"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2.1.</w:t>
            </w:r>
          </w:p>
          <w:p w:rsidR="00855DF9" w:rsidRPr="005B779A" w:rsidRDefault="00855DF9"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2.1.1.</w:t>
            </w:r>
          </w:p>
        </w:tc>
        <w:tc>
          <w:tcPr>
            <w:tcW w:w="7229" w:type="dxa"/>
          </w:tcPr>
          <w:p w:rsidR="00855DF9" w:rsidRPr="005B779A" w:rsidRDefault="00855DF9" w:rsidP="00855DF9">
            <w:pPr>
              <w:pStyle w:val="Tflutexti"/>
              <w:rPr>
                <w:rFonts w:ascii="Times New Roman" w:hAnsi="Times New Roman" w:cs="Times New Roman"/>
                <w:sz w:val="18"/>
                <w:szCs w:val="18"/>
              </w:rPr>
            </w:pPr>
            <w:r w:rsidRPr="005B779A">
              <w:rPr>
                <w:rFonts w:ascii="Times New Roman" w:hAnsi="Times New Roman" w:cs="Times New Roman"/>
                <w:sz w:val="18"/>
                <w:szCs w:val="18"/>
              </w:rPr>
              <w:t>Hver er útgefandi verðbréfanna?</w:t>
            </w:r>
          </w:p>
          <w:p w:rsidR="00855DF9" w:rsidRPr="005B779A" w:rsidRDefault="00855DF9" w:rsidP="00855DF9">
            <w:pPr>
              <w:pStyle w:val="Tflutexti"/>
              <w:rPr>
                <w:rFonts w:ascii="Times New Roman" w:hAnsi="Times New Roman" w:cs="Times New Roman"/>
                <w:sz w:val="18"/>
                <w:szCs w:val="18"/>
              </w:rPr>
            </w:pPr>
            <w:r w:rsidRPr="005B779A">
              <w:rPr>
                <w:rFonts w:ascii="Times New Roman" w:hAnsi="Times New Roman" w:cs="Times New Roman"/>
                <w:sz w:val="18"/>
                <w:szCs w:val="18"/>
              </w:rPr>
              <w:t>Upplýsingar um útgefanda:</w:t>
            </w:r>
          </w:p>
          <w:p w:rsidR="00855DF9" w:rsidRPr="005B779A" w:rsidRDefault="00855DF9" w:rsidP="00855DF9">
            <w:pPr>
              <w:pStyle w:val="Tflutexti"/>
              <w:spacing w:after="0"/>
              <w:ind w:left="312" w:hanging="312"/>
              <w:rPr>
                <w:rFonts w:ascii="Times New Roman" w:hAnsi="Times New Roman" w:cs="Times New Roman"/>
                <w:sz w:val="18"/>
                <w:szCs w:val="18"/>
              </w:rPr>
            </w:pPr>
            <w:r w:rsidRPr="005B779A">
              <w:rPr>
                <w:rFonts w:ascii="Times New Roman" w:hAnsi="Times New Roman" w:cs="Times New Roman"/>
                <w:sz w:val="18"/>
                <w:szCs w:val="18"/>
              </w:rPr>
              <w:t>a)</w:t>
            </w:r>
            <w:r w:rsidRPr="005B779A">
              <w:rPr>
                <w:rFonts w:ascii="Times New Roman" w:hAnsi="Times New Roman" w:cs="Times New Roman"/>
                <w:sz w:val="18"/>
                <w:szCs w:val="18"/>
              </w:rPr>
              <w:tab/>
              <w:t>rekstrarform hans að lögum, löggjöfin sem hann starfar samkvæmt og skráningarland hans,</w:t>
            </w:r>
          </w:p>
          <w:p w:rsidR="00855DF9" w:rsidRPr="005B779A" w:rsidRDefault="00855DF9" w:rsidP="00855DF9">
            <w:pPr>
              <w:pStyle w:val="Tflutexti"/>
              <w:spacing w:before="0" w:after="0"/>
              <w:ind w:left="312" w:hanging="312"/>
              <w:rPr>
                <w:rFonts w:ascii="Times New Roman" w:hAnsi="Times New Roman" w:cs="Times New Roman"/>
                <w:sz w:val="18"/>
                <w:szCs w:val="18"/>
              </w:rPr>
            </w:pPr>
            <w:r w:rsidRPr="005B779A">
              <w:rPr>
                <w:rFonts w:ascii="Times New Roman" w:hAnsi="Times New Roman" w:cs="Times New Roman"/>
                <w:sz w:val="18"/>
                <w:szCs w:val="18"/>
              </w:rPr>
              <w:t>b)</w:t>
            </w:r>
            <w:r w:rsidRPr="005B779A">
              <w:rPr>
                <w:rFonts w:ascii="Times New Roman" w:hAnsi="Times New Roman" w:cs="Times New Roman"/>
                <w:sz w:val="18"/>
                <w:szCs w:val="18"/>
              </w:rPr>
              <w:tab/>
              <w:t>helsta starfsemi hans,</w:t>
            </w:r>
          </w:p>
          <w:p w:rsidR="00855DF9" w:rsidRPr="005B779A" w:rsidRDefault="00855DF9" w:rsidP="00855DF9">
            <w:pPr>
              <w:pStyle w:val="Tflutexti"/>
              <w:spacing w:before="0" w:after="0"/>
              <w:ind w:left="312" w:hanging="312"/>
              <w:rPr>
                <w:rFonts w:ascii="Times New Roman" w:hAnsi="Times New Roman" w:cs="Times New Roman"/>
                <w:sz w:val="18"/>
                <w:szCs w:val="18"/>
              </w:rPr>
            </w:pPr>
            <w:r w:rsidRPr="005B779A">
              <w:rPr>
                <w:rFonts w:ascii="Times New Roman" w:hAnsi="Times New Roman" w:cs="Times New Roman"/>
                <w:sz w:val="18"/>
                <w:szCs w:val="18"/>
              </w:rPr>
              <w:t>c)</w:t>
            </w:r>
            <w:r w:rsidRPr="005B779A">
              <w:rPr>
                <w:rFonts w:ascii="Times New Roman" w:hAnsi="Times New Roman" w:cs="Times New Roman"/>
                <w:sz w:val="18"/>
                <w:szCs w:val="18"/>
              </w:rPr>
              <w:tab/>
              <w:t>ráðandi hluthafi (hluthafar) hans, þ.m.t. hvort hann er undir beinum eða óbeinum yfirráðum einhvers,</w:t>
            </w:r>
          </w:p>
          <w:p w:rsidR="00855DF9" w:rsidRPr="005B779A" w:rsidRDefault="00855DF9" w:rsidP="00855DF9">
            <w:pPr>
              <w:pStyle w:val="Tflutexti"/>
              <w:spacing w:before="0"/>
              <w:ind w:left="312" w:hanging="312"/>
              <w:rPr>
                <w:rFonts w:ascii="Times New Roman" w:hAnsi="Times New Roman" w:cs="Times New Roman"/>
                <w:sz w:val="18"/>
                <w:szCs w:val="18"/>
              </w:rPr>
            </w:pPr>
            <w:r w:rsidRPr="005B779A">
              <w:rPr>
                <w:rFonts w:ascii="Times New Roman" w:hAnsi="Times New Roman" w:cs="Times New Roman"/>
                <w:sz w:val="18"/>
                <w:szCs w:val="18"/>
              </w:rPr>
              <w:t>d)</w:t>
            </w:r>
            <w:r w:rsidRPr="005B779A">
              <w:rPr>
                <w:rFonts w:ascii="Times New Roman" w:hAnsi="Times New Roman" w:cs="Times New Roman"/>
                <w:sz w:val="18"/>
                <w:szCs w:val="18"/>
              </w:rPr>
              <w:tab/>
              <w:t>nafn forstjóra (eða sambærilegs aðila).</w:t>
            </w:r>
          </w:p>
        </w:tc>
      </w:tr>
      <w:tr w:rsidR="00855DF9" w:rsidRPr="005B779A" w:rsidTr="00580C75">
        <w:trPr>
          <w:trHeight w:val="567"/>
        </w:trPr>
        <w:tc>
          <w:tcPr>
            <w:tcW w:w="851" w:type="dxa"/>
          </w:tcPr>
          <w:p w:rsidR="00855DF9" w:rsidRPr="005B779A" w:rsidRDefault="00855DF9" w:rsidP="00580C75">
            <w:pPr>
              <w:pStyle w:val="Tflutexti"/>
              <w:spacing w:after="0"/>
              <w:ind w:left="-12" w:right="-1"/>
              <w:jc w:val="left"/>
              <w:rPr>
                <w:rFonts w:ascii="Times New Roman" w:hAnsi="Times New Roman" w:cs="Times New Roman"/>
                <w:sz w:val="18"/>
                <w:szCs w:val="18"/>
              </w:rPr>
            </w:pPr>
          </w:p>
        </w:tc>
        <w:tc>
          <w:tcPr>
            <w:tcW w:w="1134" w:type="dxa"/>
          </w:tcPr>
          <w:p w:rsidR="00855DF9" w:rsidRPr="005B779A" w:rsidRDefault="00855DF9"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2.2.</w:t>
            </w:r>
          </w:p>
          <w:p w:rsidR="00855DF9" w:rsidRPr="005B779A" w:rsidRDefault="00855DF9"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lastRenderedPageBreak/>
              <w:t>Liður 2.2.1.</w:t>
            </w:r>
          </w:p>
        </w:tc>
        <w:tc>
          <w:tcPr>
            <w:tcW w:w="7229" w:type="dxa"/>
          </w:tcPr>
          <w:p w:rsidR="00855DF9" w:rsidRPr="005B779A" w:rsidRDefault="00855DF9" w:rsidP="00855DF9">
            <w:pPr>
              <w:pStyle w:val="Tflutexti"/>
              <w:rPr>
                <w:rFonts w:ascii="Times New Roman" w:hAnsi="Times New Roman" w:cs="Times New Roman"/>
                <w:sz w:val="18"/>
                <w:szCs w:val="18"/>
              </w:rPr>
            </w:pPr>
            <w:r w:rsidRPr="005B779A">
              <w:rPr>
                <w:rFonts w:ascii="Times New Roman" w:hAnsi="Times New Roman" w:cs="Times New Roman"/>
                <w:sz w:val="18"/>
                <w:szCs w:val="18"/>
              </w:rPr>
              <w:lastRenderedPageBreak/>
              <w:t>Helstu fjárhagsupplýsingar um útgefanda</w:t>
            </w:r>
          </w:p>
          <w:p w:rsidR="00855DF9" w:rsidRPr="005B779A" w:rsidRDefault="00855DF9" w:rsidP="00855DF9">
            <w:pPr>
              <w:pStyle w:val="Tflutexti"/>
              <w:rPr>
                <w:rFonts w:ascii="Times New Roman" w:hAnsi="Times New Roman" w:cs="Times New Roman"/>
                <w:sz w:val="18"/>
                <w:szCs w:val="18"/>
              </w:rPr>
            </w:pPr>
            <w:r w:rsidRPr="005B779A">
              <w:rPr>
                <w:rFonts w:ascii="Times New Roman" w:hAnsi="Times New Roman" w:cs="Times New Roman"/>
                <w:sz w:val="18"/>
                <w:szCs w:val="18"/>
              </w:rPr>
              <w:lastRenderedPageBreak/>
              <w:t>Helstu fjárhagsupplýsingar fyrir hvert fjárhagsár tímabilsins sem sögulegu fjárhagsupplýsingarnar ná til, og, ef slíkt kemur fram í lýsingunni, allar síðari árshlutaupplýsingar ásamt samanburðargögnum fyrir sama tímabil fjárhagsársins á undan. Krafan um samanburðarupplýsingar um efnahagsreikning skal uppfyllt með því að setja fram árslokaupplýsingar úr efnahagsreikningi.</w:t>
            </w:r>
          </w:p>
          <w:p w:rsidR="00855DF9" w:rsidRPr="005B779A" w:rsidRDefault="00855DF9" w:rsidP="00855DF9">
            <w:pPr>
              <w:pStyle w:val="Tflutexti"/>
              <w:rPr>
                <w:rFonts w:ascii="Times New Roman" w:hAnsi="Times New Roman" w:cs="Times New Roman"/>
                <w:sz w:val="18"/>
                <w:szCs w:val="18"/>
              </w:rPr>
            </w:pPr>
            <w:r w:rsidRPr="005B779A">
              <w:rPr>
                <w:rFonts w:ascii="Times New Roman" w:hAnsi="Times New Roman" w:cs="Times New Roman"/>
                <w:sz w:val="18"/>
                <w:szCs w:val="18"/>
              </w:rPr>
              <w:t>Helstu fjárhagsupplýsingar skulu tilgreina fjárhagslega mælikvarða sem koma fram í lýsingunni. Þessir fjárhagslegu mælikvarðar ættu að veita upplýsingar um:</w:t>
            </w:r>
          </w:p>
          <w:p w:rsidR="00855DF9" w:rsidRPr="005B779A" w:rsidRDefault="00855DF9" w:rsidP="00855DF9">
            <w:pPr>
              <w:pStyle w:val="Tflutexti"/>
              <w:spacing w:after="0"/>
              <w:ind w:left="312" w:hanging="312"/>
              <w:rPr>
                <w:rFonts w:ascii="Times New Roman" w:hAnsi="Times New Roman" w:cs="Times New Roman"/>
                <w:sz w:val="18"/>
                <w:szCs w:val="18"/>
              </w:rPr>
            </w:pPr>
            <w:r w:rsidRPr="005B779A">
              <w:rPr>
                <w:rFonts w:ascii="Times New Roman" w:hAnsi="Times New Roman" w:cs="Times New Roman"/>
                <w:sz w:val="18"/>
                <w:szCs w:val="18"/>
              </w:rPr>
              <w:t>a)</w:t>
            </w:r>
            <w:r w:rsidRPr="005B779A">
              <w:rPr>
                <w:rFonts w:ascii="Times New Roman" w:hAnsi="Times New Roman" w:cs="Times New Roman"/>
                <w:sz w:val="18"/>
                <w:szCs w:val="18"/>
              </w:rPr>
              <w:tab/>
              <w:t>tekjur, arðsemi, eignir, fjármagnsskipan og, komi það fram í lýsingunni, sjóðstreymi, og</w:t>
            </w:r>
          </w:p>
          <w:p w:rsidR="00855DF9" w:rsidRPr="005B779A" w:rsidRDefault="00855DF9" w:rsidP="00855DF9">
            <w:pPr>
              <w:pStyle w:val="Tflutexti"/>
              <w:spacing w:before="0"/>
              <w:ind w:left="312" w:hanging="312"/>
              <w:rPr>
                <w:rFonts w:ascii="Times New Roman" w:hAnsi="Times New Roman" w:cs="Times New Roman"/>
                <w:sz w:val="18"/>
                <w:szCs w:val="18"/>
              </w:rPr>
            </w:pPr>
            <w:r w:rsidRPr="005B779A">
              <w:rPr>
                <w:rFonts w:ascii="Times New Roman" w:hAnsi="Times New Roman" w:cs="Times New Roman"/>
                <w:sz w:val="18"/>
                <w:szCs w:val="18"/>
              </w:rPr>
              <w:t>b)</w:t>
            </w:r>
            <w:r w:rsidRPr="005B779A">
              <w:rPr>
                <w:rFonts w:ascii="Times New Roman" w:hAnsi="Times New Roman" w:cs="Times New Roman"/>
                <w:sz w:val="18"/>
                <w:szCs w:val="18"/>
              </w:rPr>
              <w:tab/>
              <w:t>helstu árangursmælikvarða, komi þeir fram í lýsingunni.</w:t>
            </w:r>
          </w:p>
          <w:p w:rsidR="00855DF9" w:rsidRPr="005B779A" w:rsidRDefault="00855DF9" w:rsidP="00855DF9">
            <w:pPr>
              <w:pStyle w:val="Tflutexti"/>
              <w:ind w:left="313" w:hanging="313"/>
              <w:rPr>
                <w:rFonts w:ascii="Times New Roman" w:hAnsi="Times New Roman" w:cs="Times New Roman"/>
                <w:sz w:val="18"/>
                <w:szCs w:val="18"/>
              </w:rPr>
            </w:pPr>
            <w:r w:rsidRPr="005B779A">
              <w:rPr>
                <w:rFonts w:ascii="Times New Roman" w:hAnsi="Times New Roman" w:cs="Times New Roman"/>
                <w:sz w:val="18"/>
                <w:szCs w:val="18"/>
              </w:rPr>
              <w:t>Helstu fjárhagsupplýsingar skulu, eftir atvikum, hafa að geyma:</w:t>
            </w:r>
          </w:p>
          <w:p w:rsidR="00855DF9" w:rsidRPr="005B779A" w:rsidRDefault="00855DF9" w:rsidP="00855DF9">
            <w:pPr>
              <w:pStyle w:val="Tflutexti"/>
              <w:spacing w:after="0"/>
              <w:ind w:left="312" w:hanging="312"/>
              <w:rPr>
                <w:rFonts w:ascii="Times New Roman" w:hAnsi="Times New Roman" w:cs="Times New Roman"/>
                <w:sz w:val="18"/>
                <w:szCs w:val="18"/>
              </w:rPr>
            </w:pPr>
            <w:r w:rsidRPr="005B779A">
              <w:rPr>
                <w:rFonts w:ascii="Times New Roman" w:hAnsi="Times New Roman" w:cs="Times New Roman"/>
                <w:sz w:val="18"/>
                <w:szCs w:val="18"/>
              </w:rPr>
              <w:t>c)</w:t>
            </w:r>
            <w:r w:rsidRPr="005B779A">
              <w:rPr>
                <w:rFonts w:ascii="Times New Roman" w:hAnsi="Times New Roman" w:cs="Times New Roman"/>
                <w:sz w:val="18"/>
                <w:szCs w:val="18"/>
              </w:rPr>
              <w:tab/>
              <w:t xml:space="preserve">samandregnar </w:t>
            </w:r>
            <w:r w:rsidRPr="005B779A">
              <w:rPr>
                <w:rFonts w:ascii="Times New Roman" w:hAnsi="Times New Roman" w:cs="Times New Roman"/>
                <w:i/>
                <w:iCs/>
                <w:sz w:val="18"/>
                <w:szCs w:val="18"/>
              </w:rPr>
              <w:t>pro forma</w:t>
            </w:r>
            <w:r w:rsidRPr="005B779A">
              <w:rPr>
                <w:rFonts w:ascii="Times New Roman" w:hAnsi="Times New Roman" w:cs="Times New Roman"/>
                <w:sz w:val="18"/>
                <w:szCs w:val="18"/>
              </w:rPr>
              <w:t xml:space="preserve"> fjárhagsupplýsingar og stutta skýringu á því hvað </w:t>
            </w:r>
            <w:r w:rsidRPr="005B779A">
              <w:rPr>
                <w:rFonts w:ascii="Times New Roman" w:hAnsi="Times New Roman" w:cs="Times New Roman"/>
                <w:i/>
                <w:iCs/>
                <w:sz w:val="18"/>
                <w:szCs w:val="18"/>
              </w:rPr>
              <w:t>pro forma</w:t>
            </w:r>
            <w:r w:rsidRPr="005B779A">
              <w:rPr>
                <w:rFonts w:ascii="Times New Roman" w:hAnsi="Times New Roman" w:cs="Times New Roman"/>
                <w:sz w:val="18"/>
                <w:szCs w:val="18"/>
              </w:rPr>
              <w:t xml:space="preserve"> fjárhagsupp</w:t>
            </w:r>
            <w:r w:rsidR="00F774F1" w:rsidRPr="005B779A">
              <w:rPr>
                <w:rFonts w:ascii="Times New Roman" w:hAnsi="Times New Roman" w:cs="Times New Roman"/>
                <w:sz w:val="18"/>
                <w:szCs w:val="18"/>
              </w:rPr>
              <w:softHyphen/>
            </w:r>
            <w:r w:rsidRPr="005B779A">
              <w:rPr>
                <w:rFonts w:ascii="Times New Roman" w:hAnsi="Times New Roman" w:cs="Times New Roman"/>
                <w:sz w:val="18"/>
                <w:szCs w:val="18"/>
              </w:rPr>
              <w:t>lýsingarnar sýna og mikilvægum leiðréttingum sem gerðar voru,</w:t>
            </w:r>
          </w:p>
          <w:p w:rsidR="00855DF9" w:rsidRPr="005B779A" w:rsidRDefault="00855DF9" w:rsidP="00855DF9">
            <w:pPr>
              <w:pStyle w:val="Tflutexti"/>
              <w:spacing w:before="0"/>
              <w:ind w:left="312" w:hanging="312"/>
              <w:rPr>
                <w:rFonts w:ascii="Times New Roman" w:hAnsi="Times New Roman" w:cs="Times New Roman"/>
                <w:sz w:val="18"/>
                <w:szCs w:val="18"/>
              </w:rPr>
            </w:pPr>
            <w:r w:rsidRPr="005B779A">
              <w:rPr>
                <w:rFonts w:ascii="Times New Roman" w:hAnsi="Times New Roman" w:cs="Times New Roman"/>
                <w:sz w:val="18"/>
                <w:szCs w:val="18"/>
              </w:rPr>
              <w:t>d)</w:t>
            </w:r>
            <w:r w:rsidRPr="005B779A">
              <w:rPr>
                <w:rFonts w:ascii="Times New Roman" w:hAnsi="Times New Roman" w:cs="Times New Roman"/>
                <w:sz w:val="18"/>
                <w:szCs w:val="18"/>
              </w:rPr>
              <w:tab/>
              <w:t>stutta lýsingu á öllum fyrirvörum í áritun endurskoðanda í tengslum við sögulegu fjárhagsupp</w:t>
            </w:r>
            <w:r w:rsidR="00F774F1" w:rsidRPr="005B779A">
              <w:rPr>
                <w:rFonts w:ascii="Times New Roman" w:hAnsi="Times New Roman" w:cs="Times New Roman"/>
                <w:sz w:val="18"/>
                <w:szCs w:val="18"/>
              </w:rPr>
              <w:softHyphen/>
            </w:r>
            <w:r w:rsidRPr="005B779A">
              <w:rPr>
                <w:rFonts w:ascii="Times New Roman" w:hAnsi="Times New Roman" w:cs="Times New Roman"/>
                <w:sz w:val="18"/>
                <w:szCs w:val="18"/>
              </w:rPr>
              <w:t>lýsingarnar.</w:t>
            </w:r>
          </w:p>
        </w:tc>
      </w:tr>
      <w:tr w:rsidR="00855DF9" w:rsidRPr="005B779A" w:rsidTr="00580C75">
        <w:trPr>
          <w:trHeight w:val="567"/>
        </w:trPr>
        <w:tc>
          <w:tcPr>
            <w:tcW w:w="851" w:type="dxa"/>
          </w:tcPr>
          <w:p w:rsidR="00855DF9" w:rsidRPr="005B779A" w:rsidRDefault="00855DF9" w:rsidP="00580C75">
            <w:pPr>
              <w:pStyle w:val="Tflutexti"/>
              <w:spacing w:after="0"/>
              <w:ind w:left="-12" w:right="-1"/>
              <w:jc w:val="left"/>
              <w:rPr>
                <w:rFonts w:ascii="Times New Roman" w:hAnsi="Times New Roman" w:cs="Times New Roman"/>
                <w:sz w:val="18"/>
                <w:szCs w:val="18"/>
              </w:rPr>
            </w:pPr>
          </w:p>
        </w:tc>
        <w:tc>
          <w:tcPr>
            <w:tcW w:w="1134" w:type="dxa"/>
          </w:tcPr>
          <w:p w:rsidR="00855DF9" w:rsidRPr="005B779A" w:rsidRDefault="007159E4"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2.3.</w:t>
            </w:r>
          </w:p>
          <w:p w:rsidR="007159E4" w:rsidRPr="005B779A" w:rsidRDefault="007159E4"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2.3.1.</w:t>
            </w:r>
          </w:p>
        </w:tc>
        <w:tc>
          <w:tcPr>
            <w:tcW w:w="7229" w:type="dxa"/>
          </w:tcPr>
          <w:p w:rsidR="00855DF9" w:rsidRPr="005B779A" w:rsidRDefault="007159E4" w:rsidP="00855DF9">
            <w:pPr>
              <w:pStyle w:val="Tflutexti"/>
              <w:rPr>
                <w:rFonts w:ascii="Times New Roman" w:hAnsi="Times New Roman" w:cs="Times New Roman"/>
                <w:sz w:val="18"/>
                <w:szCs w:val="18"/>
              </w:rPr>
            </w:pPr>
            <w:r w:rsidRPr="005B779A">
              <w:rPr>
                <w:rFonts w:ascii="Times New Roman" w:hAnsi="Times New Roman" w:cs="Times New Roman"/>
                <w:sz w:val="18"/>
                <w:szCs w:val="18"/>
              </w:rPr>
              <w:t>Helstu áhættuþættir sem eru sértækir fyrir útgefandann.</w:t>
            </w:r>
          </w:p>
          <w:p w:rsidR="007159E4" w:rsidRPr="005B779A" w:rsidRDefault="007159E4" w:rsidP="00855DF9">
            <w:pPr>
              <w:pStyle w:val="Tflutexti"/>
              <w:rPr>
                <w:rFonts w:ascii="Times New Roman" w:hAnsi="Times New Roman" w:cs="Times New Roman"/>
                <w:sz w:val="18"/>
                <w:szCs w:val="18"/>
              </w:rPr>
            </w:pPr>
            <w:r w:rsidRPr="005B779A">
              <w:rPr>
                <w:rFonts w:ascii="Times New Roman" w:hAnsi="Times New Roman" w:cs="Times New Roman"/>
                <w:sz w:val="18"/>
                <w:szCs w:val="18"/>
              </w:rPr>
              <w:t>Stutt lýsing á mikilvægustu áhættuþáttum sem eru sértækir fyrir útgefandann og fjallað er um í ESB-vaxtarlýsingunni án þess að fara fram úr þeim heildarfjölda áhættuþátta sem tilgreindur er í 8. mgr. 33. gr. þessarar reglugerðar.</w:t>
            </w:r>
          </w:p>
        </w:tc>
      </w:tr>
      <w:tr w:rsidR="00855DF9" w:rsidRPr="005B779A" w:rsidTr="00580C75">
        <w:trPr>
          <w:trHeight w:val="567"/>
        </w:trPr>
        <w:tc>
          <w:tcPr>
            <w:tcW w:w="851" w:type="dxa"/>
          </w:tcPr>
          <w:p w:rsidR="00855DF9" w:rsidRPr="005B779A" w:rsidRDefault="00855DF9" w:rsidP="00580C75">
            <w:pPr>
              <w:pStyle w:val="Tflutexti"/>
              <w:spacing w:after="0"/>
              <w:ind w:left="-12" w:right="-1"/>
              <w:jc w:val="left"/>
              <w:rPr>
                <w:rFonts w:ascii="Times New Roman" w:hAnsi="Times New Roman" w:cs="Times New Roman"/>
                <w:sz w:val="18"/>
                <w:szCs w:val="18"/>
              </w:rPr>
            </w:pPr>
          </w:p>
        </w:tc>
        <w:tc>
          <w:tcPr>
            <w:tcW w:w="1134" w:type="dxa"/>
          </w:tcPr>
          <w:p w:rsidR="00855DF9" w:rsidRPr="005B779A" w:rsidRDefault="007159E4"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3. ÞÁTTUR</w:t>
            </w:r>
          </w:p>
        </w:tc>
        <w:tc>
          <w:tcPr>
            <w:tcW w:w="7229" w:type="dxa"/>
          </w:tcPr>
          <w:p w:rsidR="00855DF9" w:rsidRPr="005B779A" w:rsidRDefault="007159E4" w:rsidP="00855DF9">
            <w:pPr>
              <w:pStyle w:val="Tflutexti"/>
              <w:rPr>
                <w:rFonts w:ascii="Times New Roman" w:hAnsi="Times New Roman" w:cs="Times New Roman"/>
                <w:sz w:val="18"/>
                <w:szCs w:val="18"/>
              </w:rPr>
            </w:pPr>
            <w:r w:rsidRPr="005B779A">
              <w:rPr>
                <w:rFonts w:ascii="Times New Roman" w:hAnsi="Times New Roman" w:cs="Times New Roman"/>
                <w:sz w:val="18"/>
                <w:szCs w:val="18"/>
              </w:rPr>
              <w:t>LYKILUPPLÝSINGAR UM VERÐBRÉF</w:t>
            </w:r>
          </w:p>
        </w:tc>
      </w:tr>
      <w:tr w:rsidR="00855DF9" w:rsidRPr="005B779A" w:rsidTr="00580C75">
        <w:trPr>
          <w:trHeight w:val="567"/>
        </w:trPr>
        <w:tc>
          <w:tcPr>
            <w:tcW w:w="851" w:type="dxa"/>
          </w:tcPr>
          <w:p w:rsidR="00855DF9" w:rsidRPr="005B779A" w:rsidRDefault="00855DF9" w:rsidP="00580C75">
            <w:pPr>
              <w:pStyle w:val="Tflutexti"/>
              <w:spacing w:after="0"/>
              <w:ind w:left="-12" w:right="-1"/>
              <w:jc w:val="left"/>
              <w:rPr>
                <w:rFonts w:ascii="Times New Roman" w:hAnsi="Times New Roman" w:cs="Times New Roman"/>
                <w:sz w:val="18"/>
                <w:szCs w:val="18"/>
              </w:rPr>
            </w:pPr>
          </w:p>
        </w:tc>
        <w:tc>
          <w:tcPr>
            <w:tcW w:w="1134" w:type="dxa"/>
          </w:tcPr>
          <w:p w:rsidR="00855DF9" w:rsidRPr="005B779A" w:rsidRDefault="007159E4"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3.1.</w:t>
            </w:r>
          </w:p>
        </w:tc>
        <w:tc>
          <w:tcPr>
            <w:tcW w:w="7229" w:type="dxa"/>
          </w:tcPr>
          <w:p w:rsidR="00855DF9" w:rsidRPr="005B779A" w:rsidRDefault="007159E4" w:rsidP="00855DF9">
            <w:pPr>
              <w:pStyle w:val="Tflutexti"/>
              <w:rPr>
                <w:rFonts w:ascii="Times New Roman" w:hAnsi="Times New Roman" w:cs="Times New Roman"/>
                <w:sz w:val="18"/>
                <w:szCs w:val="18"/>
              </w:rPr>
            </w:pPr>
            <w:r w:rsidRPr="005B779A">
              <w:rPr>
                <w:rFonts w:ascii="Times New Roman" w:hAnsi="Times New Roman" w:cs="Times New Roman"/>
                <w:sz w:val="18"/>
                <w:szCs w:val="18"/>
              </w:rPr>
              <w:t>Helstu eiginleikar verðbréfanna.</w:t>
            </w:r>
          </w:p>
        </w:tc>
      </w:tr>
      <w:tr w:rsidR="00855DF9" w:rsidRPr="005B779A" w:rsidTr="00580C75">
        <w:trPr>
          <w:trHeight w:val="567"/>
        </w:trPr>
        <w:tc>
          <w:tcPr>
            <w:tcW w:w="851" w:type="dxa"/>
          </w:tcPr>
          <w:p w:rsidR="00855DF9" w:rsidRPr="005B779A" w:rsidRDefault="00855DF9" w:rsidP="00580C75">
            <w:pPr>
              <w:pStyle w:val="Tflutexti"/>
              <w:spacing w:after="0"/>
              <w:ind w:left="-12" w:right="-1"/>
              <w:jc w:val="left"/>
              <w:rPr>
                <w:rFonts w:ascii="Times New Roman" w:hAnsi="Times New Roman" w:cs="Times New Roman"/>
                <w:sz w:val="18"/>
                <w:szCs w:val="18"/>
              </w:rPr>
            </w:pPr>
          </w:p>
        </w:tc>
        <w:tc>
          <w:tcPr>
            <w:tcW w:w="1134" w:type="dxa"/>
          </w:tcPr>
          <w:p w:rsidR="00855DF9" w:rsidRPr="005B779A" w:rsidRDefault="007159E4"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3.1.1.</w:t>
            </w:r>
          </w:p>
        </w:tc>
        <w:tc>
          <w:tcPr>
            <w:tcW w:w="7229" w:type="dxa"/>
          </w:tcPr>
          <w:p w:rsidR="007159E4" w:rsidRPr="005B779A" w:rsidRDefault="007159E4" w:rsidP="007159E4">
            <w:pPr>
              <w:pStyle w:val="Tflutexti"/>
              <w:rPr>
                <w:rFonts w:ascii="Times New Roman" w:hAnsi="Times New Roman" w:cs="Times New Roman"/>
                <w:sz w:val="18"/>
                <w:szCs w:val="18"/>
              </w:rPr>
            </w:pPr>
            <w:r w:rsidRPr="005B779A">
              <w:rPr>
                <w:rFonts w:ascii="Times New Roman" w:hAnsi="Times New Roman" w:cs="Times New Roman"/>
                <w:sz w:val="18"/>
                <w:szCs w:val="18"/>
              </w:rPr>
              <w:t>Upplýsingar um verðbréfin:</w:t>
            </w:r>
          </w:p>
          <w:p w:rsidR="007159E4" w:rsidRPr="005B779A" w:rsidRDefault="007159E4" w:rsidP="007159E4">
            <w:pPr>
              <w:pStyle w:val="Tflutexti"/>
              <w:spacing w:after="0"/>
              <w:ind w:left="312" w:hanging="312"/>
              <w:rPr>
                <w:rFonts w:ascii="Times New Roman" w:hAnsi="Times New Roman" w:cs="Times New Roman"/>
                <w:sz w:val="18"/>
                <w:szCs w:val="18"/>
              </w:rPr>
            </w:pPr>
            <w:r w:rsidRPr="005B779A">
              <w:rPr>
                <w:rFonts w:ascii="Times New Roman" w:hAnsi="Times New Roman" w:cs="Times New Roman"/>
                <w:sz w:val="18"/>
                <w:szCs w:val="18"/>
              </w:rPr>
              <w:t>a)</w:t>
            </w:r>
            <w:r w:rsidRPr="005B779A">
              <w:rPr>
                <w:rFonts w:ascii="Times New Roman" w:hAnsi="Times New Roman" w:cs="Times New Roman"/>
                <w:sz w:val="18"/>
                <w:szCs w:val="18"/>
              </w:rPr>
              <w:tab/>
              <w:t>tegund og flokkur þeirra,</w:t>
            </w:r>
          </w:p>
          <w:p w:rsidR="007159E4" w:rsidRPr="005B779A" w:rsidRDefault="007159E4" w:rsidP="007159E4">
            <w:pPr>
              <w:pStyle w:val="Tflutexti"/>
              <w:spacing w:before="0" w:after="0"/>
              <w:ind w:left="312" w:hanging="312"/>
              <w:rPr>
                <w:rFonts w:ascii="Times New Roman" w:hAnsi="Times New Roman" w:cs="Times New Roman"/>
                <w:sz w:val="18"/>
                <w:szCs w:val="18"/>
              </w:rPr>
            </w:pPr>
            <w:r w:rsidRPr="005B779A">
              <w:rPr>
                <w:rFonts w:ascii="Times New Roman" w:hAnsi="Times New Roman" w:cs="Times New Roman"/>
                <w:sz w:val="18"/>
                <w:szCs w:val="18"/>
              </w:rPr>
              <w:t>b)</w:t>
            </w:r>
            <w:r w:rsidRPr="005B779A">
              <w:rPr>
                <w:rFonts w:ascii="Times New Roman" w:hAnsi="Times New Roman" w:cs="Times New Roman"/>
                <w:sz w:val="18"/>
                <w:szCs w:val="18"/>
              </w:rPr>
              <w:tab/>
              <w:t>eftir atvikum, gjaldmiðill þeirra, eining, fjöldi útgefinna verðbréfa og tímalengd verðbréfanna,</w:t>
            </w:r>
          </w:p>
          <w:p w:rsidR="007159E4" w:rsidRPr="005B779A" w:rsidRDefault="007159E4" w:rsidP="007159E4">
            <w:pPr>
              <w:pStyle w:val="Tflutexti"/>
              <w:spacing w:before="0" w:after="0"/>
              <w:ind w:left="312" w:hanging="312"/>
              <w:rPr>
                <w:rFonts w:ascii="Times New Roman" w:hAnsi="Times New Roman" w:cs="Times New Roman"/>
                <w:sz w:val="18"/>
                <w:szCs w:val="18"/>
              </w:rPr>
            </w:pPr>
            <w:r w:rsidRPr="005B779A">
              <w:rPr>
                <w:rFonts w:ascii="Times New Roman" w:hAnsi="Times New Roman" w:cs="Times New Roman"/>
                <w:sz w:val="18"/>
                <w:szCs w:val="18"/>
              </w:rPr>
              <w:t>c)</w:t>
            </w:r>
            <w:r w:rsidRPr="005B779A">
              <w:rPr>
                <w:rFonts w:ascii="Times New Roman" w:hAnsi="Times New Roman" w:cs="Times New Roman"/>
                <w:sz w:val="18"/>
                <w:szCs w:val="18"/>
              </w:rPr>
              <w:tab/>
              <w:t>réttindi sem fylgja verðbréfunum,</w:t>
            </w:r>
          </w:p>
          <w:p w:rsidR="007159E4" w:rsidRPr="005B779A" w:rsidRDefault="007159E4" w:rsidP="007159E4">
            <w:pPr>
              <w:pStyle w:val="Tflutexti"/>
              <w:spacing w:before="0" w:after="0"/>
              <w:ind w:left="312" w:hanging="312"/>
              <w:rPr>
                <w:rFonts w:ascii="Times New Roman" w:hAnsi="Times New Roman" w:cs="Times New Roman"/>
                <w:sz w:val="18"/>
                <w:szCs w:val="18"/>
              </w:rPr>
            </w:pPr>
            <w:r w:rsidRPr="005B779A">
              <w:rPr>
                <w:rFonts w:ascii="Times New Roman" w:hAnsi="Times New Roman" w:cs="Times New Roman"/>
                <w:sz w:val="18"/>
                <w:szCs w:val="18"/>
              </w:rPr>
              <w:t>d)</w:t>
            </w:r>
            <w:r w:rsidRPr="005B779A">
              <w:rPr>
                <w:rFonts w:ascii="Times New Roman" w:hAnsi="Times New Roman" w:cs="Times New Roman"/>
                <w:sz w:val="18"/>
                <w:szCs w:val="18"/>
              </w:rPr>
              <w:tab/>
              <w:t>rétthæð verðbréfanna í fjármagnsskipan útgefanda ef til gjaldþrotaskipta kæmi, þ.m.t., eftir atvikum, upplýsingar um víkjandi stöðu verðbréfanna,</w:t>
            </w:r>
          </w:p>
          <w:p w:rsidR="00855DF9" w:rsidRPr="005B779A" w:rsidRDefault="007159E4" w:rsidP="007159E4">
            <w:pPr>
              <w:pStyle w:val="Tflutexti"/>
              <w:spacing w:before="0"/>
              <w:ind w:left="312" w:hanging="312"/>
              <w:rPr>
                <w:rFonts w:ascii="Times New Roman" w:hAnsi="Times New Roman" w:cs="Times New Roman"/>
                <w:sz w:val="18"/>
                <w:szCs w:val="18"/>
              </w:rPr>
            </w:pPr>
            <w:r w:rsidRPr="005B779A">
              <w:rPr>
                <w:rFonts w:ascii="Times New Roman" w:hAnsi="Times New Roman" w:cs="Times New Roman"/>
                <w:sz w:val="18"/>
                <w:szCs w:val="18"/>
              </w:rPr>
              <w:t>e)</w:t>
            </w:r>
            <w:r w:rsidRPr="005B779A">
              <w:rPr>
                <w:rFonts w:ascii="Times New Roman" w:hAnsi="Times New Roman" w:cs="Times New Roman"/>
                <w:sz w:val="18"/>
                <w:szCs w:val="18"/>
              </w:rPr>
              <w:tab/>
              <w:t>eftir atvikum, arðgreiðslu- eða útgreiðslustefnu.</w:t>
            </w:r>
          </w:p>
        </w:tc>
      </w:tr>
      <w:tr w:rsidR="006F6A73" w:rsidRPr="005B779A" w:rsidTr="00580C75">
        <w:trPr>
          <w:trHeight w:val="567"/>
        </w:trPr>
        <w:tc>
          <w:tcPr>
            <w:tcW w:w="851" w:type="dxa"/>
          </w:tcPr>
          <w:p w:rsidR="006F6A73" w:rsidRPr="005B779A" w:rsidRDefault="006F6A73" w:rsidP="00580C75">
            <w:pPr>
              <w:pStyle w:val="Tflutexti"/>
              <w:spacing w:after="0"/>
              <w:ind w:left="-12" w:right="-1"/>
              <w:jc w:val="left"/>
              <w:rPr>
                <w:rFonts w:ascii="Times New Roman" w:hAnsi="Times New Roman" w:cs="Times New Roman"/>
                <w:sz w:val="18"/>
                <w:szCs w:val="18"/>
              </w:rPr>
            </w:pPr>
          </w:p>
        </w:tc>
        <w:tc>
          <w:tcPr>
            <w:tcW w:w="1134" w:type="dxa"/>
          </w:tcPr>
          <w:p w:rsidR="006F6A73" w:rsidRPr="005B779A" w:rsidRDefault="006F6A73"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3.2.</w:t>
            </w:r>
          </w:p>
          <w:p w:rsidR="006F6A73" w:rsidRPr="005B779A" w:rsidRDefault="006F6A73"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3.2.1.</w:t>
            </w:r>
          </w:p>
        </w:tc>
        <w:tc>
          <w:tcPr>
            <w:tcW w:w="7229" w:type="dxa"/>
          </w:tcPr>
          <w:p w:rsidR="006F6A73" w:rsidRPr="005B779A" w:rsidRDefault="006F6A73" w:rsidP="007159E4">
            <w:pPr>
              <w:pStyle w:val="Tflutexti"/>
              <w:rPr>
                <w:rFonts w:ascii="Times New Roman" w:hAnsi="Times New Roman" w:cs="Times New Roman"/>
                <w:sz w:val="18"/>
                <w:szCs w:val="18"/>
              </w:rPr>
            </w:pPr>
            <w:r w:rsidRPr="005B779A">
              <w:rPr>
                <w:rFonts w:ascii="Times New Roman" w:hAnsi="Times New Roman" w:cs="Times New Roman"/>
                <w:sz w:val="18"/>
                <w:szCs w:val="18"/>
              </w:rPr>
              <w:t>Hvar munu viðskipti með verðbréfin fara fram?</w:t>
            </w:r>
          </w:p>
          <w:p w:rsidR="006F6A73" w:rsidRPr="005B779A" w:rsidRDefault="006F6A73" w:rsidP="007159E4">
            <w:pPr>
              <w:pStyle w:val="Tflutexti"/>
              <w:rPr>
                <w:rFonts w:ascii="Times New Roman" w:hAnsi="Times New Roman" w:cs="Times New Roman"/>
                <w:sz w:val="18"/>
                <w:szCs w:val="18"/>
              </w:rPr>
            </w:pPr>
            <w:r w:rsidRPr="005B779A">
              <w:rPr>
                <w:rFonts w:ascii="Times New Roman" w:hAnsi="Times New Roman" w:cs="Times New Roman"/>
                <w:sz w:val="18"/>
                <w:szCs w:val="18"/>
              </w:rPr>
              <w:t>Eftir atvikum, upplýsingar um það hvort sótt hafi verið, eða sótt verði, um töku verðbréfanna til viðskipta á markaðstorgi fjármálagerninga eða vaxtarmarkaði lítilla og meðalstórra fyrirtækja, og nöfn allra markaða þar sem viðskipti með verðbréfin fara fram eða munu fara fram auk upplýsinga um töku til viðskipta á markaðstorgi fjármálagerninga eða vaxtarmarkaði lítilla og meðalstórra fyrirtækja.</w:t>
            </w:r>
          </w:p>
        </w:tc>
      </w:tr>
      <w:tr w:rsidR="006F6A73" w:rsidRPr="005B779A" w:rsidTr="00580C75">
        <w:trPr>
          <w:trHeight w:val="567"/>
        </w:trPr>
        <w:tc>
          <w:tcPr>
            <w:tcW w:w="851" w:type="dxa"/>
          </w:tcPr>
          <w:p w:rsidR="006F6A73" w:rsidRPr="005B779A" w:rsidRDefault="006F6A73" w:rsidP="00580C75">
            <w:pPr>
              <w:pStyle w:val="Tflutexti"/>
              <w:spacing w:after="0"/>
              <w:ind w:left="-12" w:right="-1"/>
              <w:jc w:val="left"/>
              <w:rPr>
                <w:rFonts w:ascii="Times New Roman" w:hAnsi="Times New Roman" w:cs="Times New Roman"/>
                <w:sz w:val="18"/>
                <w:szCs w:val="18"/>
              </w:rPr>
            </w:pPr>
          </w:p>
        </w:tc>
        <w:tc>
          <w:tcPr>
            <w:tcW w:w="1134" w:type="dxa"/>
          </w:tcPr>
          <w:p w:rsidR="006F6A73" w:rsidRPr="005B779A" w:rsidRDefault="006F6A73"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3.3.</w:t>
            </w:r>
          </w:p>
        </w:tc>
        <w:tc>
          <w:tcPr>
            <w:tcW w:w="7229" w:type="dxa"/>
          </w:tcPr>
          <w:p w:rsidR="006F6A73" w:rsidRPr="005B779A" w:rsidRDefault="006F6A73" w:rsidP="006F6A73">
            <w:pPr>
              <w:pStyle w:val="Tflutexti"/>
              <w:rPr>
                <w:rFonts w:ascii="Times New Roman" w:hAnsi="Times New Roman" w:cs="Times New Roman"/>
                <w:sz w:val="18"/>
                <w:szCs w:val="18"/>
              </w:rPr>
            </w:pPr>
            <w:r w:rsidRPr="005B779A">
              <w:rPr>
                <w:rFonts w:ascii="Times New Roman" w:hAnsi="Times New Roman" w:cs="Times New Roman"/>
                <w:sz w:val="18"/>
                <w:szCs w:val="18"/>
              </w:rPr>
              <w:t>Eru verðbréfin með ábyrgð?</w:t>
            </w:r>
          </w:p>
          <w:p w:rsidR="006F6A73" w:rsidRPr="005B779A" w:rsidRDefault="006F6A73" w:rsidP="008D3376">
            <w:pPr>
              <w:pStyle w:val="Tflutexti"/>
              <w:spacing w:after="0"/>
              <w:ind w:left="312" w:hanging="312"/>
              <w:rPr>
                <w:rFonts w:ascii="Times New Roman" w:hAnsi="Times New Roman" w:cs="Times New Roman"/>
                <w:sz w:val="18"/>
                <w:szCs w:val="18"/>
              </w:rPr>
            </w:pPr>
            <w:r w:rsidRPr="005B779A">
              <w:rPr>
                <w:rFonts w:ascii="Times New Roman" w:hAnsi="Times New Roman" w:cs="Times New Roman"/>
                <w:sz w:val="18"/>
                <w:szCs w:val="18"/>
              </w:rPr>
              <w:t>a)</w:t>
            </w:r>
            <w:r w:rsidRPr="005B779A">
              <w:rPr>
                <w:rFonts w:ascii="Times New Roman" w:hAnsi="Times New Roman" w:cs="Times New Roman"/>
                <w:sz w:val="18"/>
                <w:szCs w:val="18"/>
              </w:rPr>
              <w:tab/>
              <w:t>stutt lýsing á eðli og umfangi ábyrgðarinnar,</w:t>
            </w:r>
          </w:p>
          <w:p w:rsidR="006F6A73" w:rsidRPr="005B779A" w:rsidRDefault="006F6A73" w:rsidP="008D3376">
            <w:pPr>
              <w:pStyle w:val="Tflutexti"/>
              <w:spacing w:before="0" w:after="0"/>
              <w:ind w:left="312" w:hanging="312"/>
              <w:rPr>
                <w:rFonts w:ascii="Times New Roman" w:hAnsi="Times New Roman" w:cs="Times New Roman"/>
                <w:sz w:val="18"/>
                <w:szCs w:val="18"/>
              </w:rPr>
            </w:pPr>
            <w:r w:rsidRPr="005B779A">
              <w:rPr>
                <w:rFonts w:ascii="Times New Roman" w:hAnsi="Times New Roman" w:cs="Times New Roman"/>
                <w:sz w:val="18"/>
                <w:szCs w:val="18"/>
              </w:rPr>
              <w:t>b)</w:t>
            </w:r>
            <w:r w:rsidRPr="005B779A">
              <w:rPr>
                <w:rFonts w:ascii="Times New Roman" w:hAnsi="Times New Roman" w:cs="Times New Roman"/>
                <w:sz w:val="18"/>
                <w:szCs w:val="18"/>
              </w:rPr>
              <w:tab/>
              <w:t>stutt lýsing á ábyrgðarveitandanum, þ.m.t. auðkenni lögaðila (LEI-númer),</w:t>
            </w:r>
          </w:p>
          <w:p w:rsidR="006F6A73" w:rsidRPr="005B779A" w:rsidRDefault="006F6A73" w:rsidP="008D3376">
            <w:pPr>
              <w:pStyle w:val="Tflutexti"/>
              <w:spacing w:before="0"/>
              <w:ind w:left="312" w:hanging="312"/>
              <w:rPr>
                <w:rFonts w:ascii="Times New Roman" w:hAnsi="Times New Roman" w:cs="Times New Roman"/>
                <w:sz w:val="18"/>
                <w:szCs w:val="18"/>
              </w:rPr>
            </w:pPr>
            <w:r w:rsidRPr="005B779A">
              <w:rPr>
                <w:rFonts w:ascii="Times New Roman" w:hAnsi="Times New Roman" w:cs="Times New Roman"/>
                <w:sz w:val="18"/>
                <w:szCs w:val="18"/>
              </w:rPr>
              <w:t>c)</w:t>
            </w:r>
            <w:r w:rsidRPr="005B779A">
              <w:rPr>
                <w:rFonts w:ascii="Times New Roman" w:hAnsi="Times New Roman" w:cs="Times New Roman"/>
                <w:sz w:val="18"/>
                <w:szCs w:val="18"/>
              </w:rPr>
              <w:tab/>
              <w:t>viðkomandi helstu fjárhagsupplýsingar til mats á getu ábyrgðarveitanda til að uppfylla skuldbind</w:t>
            </w:r>
            <w:r w:rsidR="00F774F1" w:rsidRPr="005B779A">
              <w:rPr>
                <w:rFonts w:ascii="Times New Roman" w:hAnsi="Times New Roman" w:cs="Times New Roman"/>
                <w:sz w:val="18"/>
                <w:szCs w:val="18"/>
              </w:rPr>
              <w:softHyphen/>
            </w:r>
            <w:r w:rsidRPr="005B779A">
              <w:rPr>
                <w:rFonts w:ascii="Times New Roman" w:hAnsi="Times New Roman" w:cs="Times New Roman"/>
                <w:sz w:val="18"/>
                <w:szCs w:val="18"/>
              </w:rPr>
              <w:t>ingar sínar samkvæmt ábyrgðinni,</w:t>
            </w:r>
          </w:p>
          <w:p w:rsidR="006F6A73" w:rsidRPr="005B779A" w:rsidRDefault="006F6A73" w:rsidP="008D3376">
            <w:pPr>
              <w:pStyle w:val="Tflutexti"/>
              <w:spacing w:before="240"/>
              <w:ind w:left="312" w:hanging="312"/>
              <w:rPr>
                <w:rFonts w:ascii="Times New Roman" w:hAnsi="Times New Roman" w:cs="Times New Roman"/>
                <w:sz w:val="18"/>
                <w:szCs w:val="18"/>
              </w:rPr>
            </w:pPr>
            <w:r w:rsidRPr="005B779A">
              <w:rPr>
                <w:rFonts w:ascii="Times New Roman" w:hAnsi="Times New Roman" w:cs="Times New Roman"/>
                <w:sz w:val="18"/>
                <w:szCs w:val="18"/>
              </w:rPr>
              <w:t>d)</w:t>
            </w:r>
            <w:r w:rsidRPr="005B779A">
              <w:rPr>
                <w:rFonts w:ascii="Times New Roman" w:hAnsi="Times New Roman" w:cs="Times New Roman"/>
                <w:sz w:val="18"/>
                <w:szCs w:val="18"/>
              </w:rPr>
              <w:tab/>
              <w:t>stutt lýsing á mikilvægustu áhættuþáttum að því er varðar ábyrgðarveitanda og fjallað er um í ESB-vaxtarlýsingunni í samræmi við 3. mgr. 16. gr. reglugerðar (ESB) 2017/1129, án þess að fara fram úr þeim heildarfjölda áhættuþátta sem tilgreindur er í 8. mgr. 33. gr. þessarar reglugerðar,</w:t>
            </w:r>
          </w:p>
        </w:tc>
      </w:tr>
      <w:tr w:rsidR="006F6A73" w:rsidRPr="005B779A" w:rsidTr="00580C75">
        <w:trPr>
          <w:trHeight w:val="567"/>
        </w:trPr>
        <w:tc>
          <w:tcPr>
            <w:tcW w:w="851" w:type="dxa"/>
          </w:tcPr>
          <w:p w:rsidR="006F6A73" w:rsidRPr="005B779A" w:rsidRDefault="006F6A73" w:rsidP="00580C75">
            <w:pPr>
              <w:pStyle w:val="Tflutexti"/>
              <w:spacing w:after="0"/>
              <w:ind w:left="-12" w:right="-1"/>
              <w:jc w:val="left"/>
              <w:rPr>
                <w:rFonts w:ascii="Times New Roman" w:hAnsi="Times New Roman" w:cs="Times New Roman"/>
                <w:sz w:val="18"/>
                <w:szCs w:val="18"/>
              </w:rPr>
            </w:pPr>
          </w:p>
        </w:tc>
        <w:tc>
          <w:tcPr>
            <w:tcW w:w="1134" w:type="dxa"/>
          </w:tcPr>
          <w:p w:rsidR="006F6A73" w:rsidRPr="005B779A" w:rsidRDefault="00724FB8"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3.4.</w:t>
            </w:r>
          </w:p>
          <w:p w:rsidR="00724FB8" w:rsidRPr="005B779A" w:rsidRDefault="00724FB8"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3.4.1.</w:t>
            </w:r>
          </w:p>
        </w:tc>
        <w:tc>
          <w:tcPr>
            <w:tcW w:w="7229" w:type="dxa"/>
          </w:tcPr>
          <w:p w:rsidR="006F6A73" w:rsidRPr="005B779A" w:rsidRDefault="00724FB8" w:rsidP="007159E4">
            <w:pPr>
              <w:pStyle w:val="Tflutexti"/>
              <w:rPr>
                <w:rFonts w:ascii="Times New Roman" w:hAnsi="Times New Roman" w:cs="Times New Roman"/>
                <w:sz w:val="18"/>
                <w:szCs w:val="18"/>
              </w:rPr>
            </w:pPr>
            <w:r w:rsidRPr="005B779A">
              <w:rPr>
                <w:rFonts w:ascii="Times New Roman" w:hAnsi="Times New Roman" w:cs="Times New Roman"/>
                <w:sz w:val="18"/>
                <w:szCs w:val="18"/>
              </w:rPr>
              <w:t>Helstu áhættuþættir sem eru sértækir fyrir verðbréfin.</w:t>
            </w:r>
          </w:p>
          <w:p w:rsidR="00724FB8" w:rsidRPr="005B779A" w:rsidRDefault="00724FB8" w:rsidP="007159E4">
            <w:pPr>
              <w:pStyle w:val="Tflutexti"/>
              <w:rPr>
                <w:rFonts w:ascii="Times New Roman" w:hAnsi="Times New Roman" w:cs="Times New Roman"/>
                <w:sz w:val="18"/>
                <w:szCs w:val="18"/>
              </w:rPr>
            </w:pPr>
            <w:r w:rsidRPr="005B779A">
              <w:rPr>
                <w:rFonts w:ascii="Times New Roman" w:hAnsi="Times New Roman" w:cs="Times New Roman"/>
                <w:sz w:val="18"/>
                <w:szCs w:val="18"/>
              </w:rPr>
              <w:t>Stutt lýsing á mikilvægustu áhættuþáttum sem eru sértækir fyrir verðbréfin og fjallað er um í ESB-vaxtarlýsingunni án þess að fara fram úr þeim heildarfjölda áhættuþátta sem tilgreindur er í 8. mgr. 33. gr. þessarar reglugerðar.</w:t>
            </w:r>
          </w:p>
        </w:tc>
      </w:tr>
      <w:tr w:rsidR="006F6A73" w:rsidRPr="005B779A" w:rsidTr="00580C75">
        <w:trPr>
          <w:trHeight w:val="567"/>
        </w:trPr>
        <w:tc>
          <w:tcPr>
            <w:tcW w:w="851" w:type="dxa"/>
          </w:tcPr>
          <w:p w:rsidR="006F6A73" w:rsidRPr="005B779A" w:rsidRDefault="006F6A73" w:rsidP="00580C75">
            <w:pPr>
              <w:pStyle w:val="Tflutexti"/>
              <w:spacing w:after="0"/>
              <w:ind w:left="-12" w:right="-1"/>
              <w:jc w:val="left"/>
              <w:rPr>
                <w:rFonts w:ascii="Times New Roman" w:hAnsi="Times New Roman" w:cs="Times New Roman"/>
                <w:sz w:val="18"/>
                <w:szCs w:val="18"/>
              </w:rPr>
            </w:pPr>
          </w:p>
        </w:tc>
        <w:tc>
          <w:tcPr>
            <w:tcW w:w="1134" w:type="dxa"/>
          </w:tcPr>
          <w:p w:rsidR="006F6A73" w:rsidRPr="005B779A" w:rsidRDefault="00724FB8"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4. ÞÁTTUR</w:t>
            </w:r>
          </w:p>
        </w:tc>
        <w:tc>
          <w:tcPr>
            <w:tcW w:w="7229" w:type="dxa"/>
          </w:tcPr>
          <w:p w:rsidR="006F6A73" w:rsidRPr="005B779A" w:rsidRDefault="00724FB8" w:rsidP="007159E4">
            <w:pPr>
              <w:pStyle w:val="Tflutexti"/>
              <w:rPr>
                <w:rFonts w:ascii="Times New Roman" w:hAnsi="Times New Roman" w:cs="Times New Roman"/>
                <w:sz w:val="18"/>
                <w:szCs w:val="18"/>
              </w:rPr>
            </w:pPr>
            <w:r w:rsidRPr="005B779A">
              <w:rPr>
                <w:rFonts w:ascii="Times New Roman" w:hAnsi="Times New Roman" w:cs="Times New Roman"/>
                <w:sz w:val="18"/>
                <w:szCs w:val="18"/>
              </w:rPr>
              <w:t>LYKILUPPLÝSINGAR UM ALMENNT ÚTBOÐ VERÐBRÉFA</w:t>
            </w:r>
          </w:p>
        </w:tc>
      </w:tr>
      <w:tr w:rsidR="00724FB8" w:rsidRPr="005B779A" w:rsidTr="00580C75">
        <w:trPr>
          <w:trHeight w:val="567"/>
        </w:trPr>
        <w:tc>
          <w:tcPr>
            <w:tcW w:w="851" w:type="dxa"/>
          </w:tcPr>
          <w:p w:rsidR="00724FB8" w:rsidRPr="005B779A" w:rsidRDefault="00724FB8" w:rsidP="00580C75">
            <w:pPr>
              <w:pStyle w:val="Tflutexti"/>
              <w:spacing w:after="0"/>
              <w:ind w:left="-12" w:right="-1"/>
              <w:jc w:val="left"/>
              <w:rPr>
                <w:rFonts w:ascii="Times New Roman" w:hAnsi="Times New Roman" w:cs="Times New Roman"/>
                <w:sz w:val="18"/>
                <w:szCs w:val="18"/>
              </w:rPr>
            </w:pPr>
          </w:p>
        </w:tc>
        <w:tc>
          <w:tcPr>
            <w:tcW w:w="1134" w:type="dxa"/>
          </w:tcPr>
          <w:p w:rsidR="00724FB8" w:rsidRPr="005B779A" w:rsidRDefault="00724FB8"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4.1.</w:t>
            </w:r>
          </w:p>
        </w:tc>
        <w:tc>
          <w:tcPr>
            <w:tcW w:w="7229" w:type="dxa"/>
          </w:tcPr>
          <w:p w:rsidR="00724FB8" w:rsidRPr="005B779A" w:rsidRDefault="00724FB8" w:rsidP="00724FB8">
            <w:pPr>
              <w:pStyle w:val="Tflutexti"/>
              <w:rPr>
                <w:rFonts w:ascii="Times New Roman" w:hAnsi="Times New Roman" w:cs="Times New Roman"/>
                <w:sz w:val="18"/>
                <w:szCs w:val="18"/>
              </w:rPr>
            </w:pPr>
            <w:r w:rsidRPr="005B779A">
              <w:rPr>
                <w:rFonts w:ascii="Times New Roman" w:hAnsi="Times New Roman" w:cs="Times New Roman"/>
                <w:sz w:val="18"/>
                <w:szCs w:val="18"/>
              </w:rPr>
              <w:t>Samkvæmt hvaða skilyrðum og tímaáætlun get ég fjárfest í þessu verðbréfi?</w:t>
            </w:r>
          </w:p>
          <w:p w:rsidR="00724FB8" w:rsidRPr="005B779A" w:rsidRDefault="00724FB8" w:rsidP="00724FB8">
            <w:pPr>
              <w:pStyle w:val="Tflutexti"/>
              <w:rPr>
                <w:rFonts w:ascii="Times New Roman" w:hAnsi="Times New Roman" w:cs="Times New Roman"/>
                <w:sz w:val="18"/>
                <w:szCs w:val="18"/>
              </w:rPr>
            </w:pPr>
            <w:r w:rsidRPr="005B779A">
              <w:rPr>
                <w:rFonts w:ascii="Times New Roman" w:hAnsi="Times New Roman" w:cs="Times New Roman"/>
                <w:sz w:val="18"/>
                <w:szCs w:val="18"/>
              </w:rPr>
              <w:t>Eftir atvikum, almennir skilmálar, skilyrði og væntanleg tímaáætlun útboðsins, dreifingaráætlun, fjárhæð og hlutfall tafarlausrar þynningar vegna útboðsins og mat á heildarkostnaði vegna útgáfunnar og/eða útboðsins, þ.m.t. áætlaður kostnaður sem útgefandinn eða tilboðsgjafinn krefur fjárfestinn um greiðslu á.</w:t>
            </w:r>
          </w:p>
        </w:tc>
      </w:tr>
      <w:tr w:rsidR="00724FB8" w:rsidRPr="005B779A" w:rsidTr="00580C75">
        <w:trPr>
          <w:trHeight w:val="567"/>
        </w:trPr>
        <w:tc>
          <w:tcPr>
            <w:tcW w:w="851" w:type="dxa"/>
          </w:tcPr>
          <w:p w:rsidR="00724FB8" w:rsidRPr="005B779A" w:rsidRDefault="00724FB8" w:rsidP="00580C75">
            <w:pPr>
              <w:pStyle w:val="Tflutexti"/>
              <w:spacing w:after="0"/>
              <w:ind w:left="-12" w:right="-1"/>
              <w:jc w:val="left"/>
              <w:rPr>
                <w:rFonts w:ascii="Times New Roman" w:hAnsi="Times New Roman" w:cs="Times New Roman"/>
                <w:sz w:val="18"/>
                <w:szCs w:val="18"/>
              </w:rPr>
            </w:pPr>
          </w:p>
        </w:tc>
        <w:tc>
          <w:tcPr>
            <w:tcW w:w="1134" w:type="dxa"/>
          </w:tcPr>
          <w:p w:rsidR="00724FB8" w:rsidRPr="005B779A" w:rsidRDefault="00724FB8"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4.2.</w:t>
            </w:r>
          </w:p>
        </w:tc>
        <w:tc>
          <w:tcPr>
            <w:tcW w:w="7229" w:type="dxa"/>
          </w:tcPr>
          <w:p w:rsidR="00724FB8" w:rsidRPr="005B779A" w:rsidRDefault="00724FB8" w:rsidP="007159E4">
            <w:pPr>
              <w:pStyle w:val="Tflutexti"/>
              <w:rPr>
                <w:rFonts w:ascii="Times New Roman" w:hAnsi="Times New Roman" w:cs="Times New Roman"/>
                <w:sz w:val="18"/>
                <w:szCs w:val="18"/>
              </w:rPr>
            </w:pPr>
            <w:r w:rsidRPr="005B779A">
              <w:rPr>
                <w:rFonts w:ascii="Times New Roman" w:hAnsi="Times New Roman" w:cs="Times New Roman"/>
                <w:sz w:val="18"/>
                <w:szCs w:val="18"/>
              </w:rPr>
              <w:t>Hvers vegna er þessi ESB-vaxtarlýsing gerð?</w:t>
            </w:r>
          </w:p>
        </w:tc>
      </w:tr>
      <w:tr w:rsidR="00724FB8" w:rsidRPr="005B779A" w:rsidTr="00580C75">
        <w:trPr>
          <w:trHeight w:val="567"/>
        </w:trPr>
        <w:tc>
          <w:tcPr>
            <w:tcW w:w="851" w:type="dxa"/>
          </w:tcPr>
          <w:p w:rsidR="00724FB8" w:rsidRPr="005B779A" w:rsidRDefault="00724FB8" w:rsidP="00580C75">
            <w:pPr>
              <w:pStyle w:val="Tflutexti"/>
              <w:spacing w:after="0"/>
              <w:ind w:left="-12" w:right="-1"/>
              <w:jc w:val="left"/>
              <w:rPr>
                <w:rFonts w:ascii="Times New Roman" w:hAnsi="Times New Roman" w:cs="Times New Roman"/>
                <w:sz w:val="18"/>
                <w:szCs w:val="18"/>
              </w:rPr>
            </w:pPr>
          </w:p>
        </w:tc>
        <w:tc>
          <w:tcPr>
            <w:tcW w:w="1134" w:type="dxa"/>
          </w:tcPr>
          <w:p w:rsidR="00724FB8" w:rsidRPr="005B779A" w:rsidRDefault="00724FB8"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4.2.1.</w:t>
            </w:r>
          </w:p>
        </w:tc>
        <w:tc>
          <w:tcPr>
            <w:tcW w:w="7229" w:type="dxa"/>
          </w:tcPr>
          <w:p w:rsidR="00724FB8" w:rsidRPr="005B779A" w:rsidRDefault="00724FB8" w:rsidP="00724FB8">
            <w:pPr>
              <w:pStyle w:val="Tflutexti"/>
              <w:rPr>
                <w:rFonts w:ascii="Times New Roman" w:hAnsi="Times New Roman" w:cs="Times New Roman"/>
                <w:sz w:val="18"/>
                <w:szCs w:val="18"/>
              </w:rPr>
            </w:pPr>
            <w:r w:rsidRPr="005B779A">
              <w:rPr>
                <w:rFonts w:ascii="Times New Roman" w:hAnsi="Times New Roman" w:cs="Times New Roman"/>
                <w:sz w:val="18"/>
                <w:szCs w:val="18"/>
              </w:rPr>
              <w:t>Stutt lýsing á ástæðum útboðsins og, eftir atvikum:</w:t>
            </w:r>
          </w:p>
          <w:p w:rsidR="00724FB8" w:rsidRPr="005B779A" w:rsidRDefault="00724FB8" w:rsidP="00724FB8">
            <w:pPr>
              <w:pStyle w:val="Tflutexti"/>
              <w:spacing w:after="0"/>
              <w:ind w:left="312" w:hanging="312"/>
              <w:rPr>
                <w:rFonts w:ascii="Times New Roman" w:hAnsi="Times New Roman" w:cs="Times New Roman"/>
                <w:sz w:val="18"/>
                <w:szCs w:val="18"/>
              </w:rPr>
            </w:pPr>
            <w:r w:rsidRPr="005B779A">
              <w:rPr>
                <w:rFonts w:ascii="Times New Roman" w:hAnsi="Times New Roman" w:cs="Times New Roman"/>
                <w:sz w:val="18"/>
                <w:szCs w:val="18"/>
              </w:rPr>
              <w:t>a)</w:t>
            </w:r>
            <w:r w:rsidRPr="005B779A">
              <w:rPr>
                <w:rFonts w:ascii="Times New Roman" w:hAnsi="Times New Roman" w:cs="Times New Roman"/>
                <w:sz w:val="18"/>
                <w:szCs w:val="18"/>
              </w:rPr>
              <w:tab/>
              <w:t>notkun og áætluð nettófjárhæð ágóðans,</w:t>
            </w:r>
          </w:p>
          <w:p w:rsidR="00724FB8" w:rsidRPr="005B779A" w:rsidRDefault="00724FB8" w:rsidP="00724FB8">
            <w:pPr>
              <w:pStyle w:val="Tflutexti"/>
              <w:spacing w:before="0" w:after="0"/>
              <w:ind w:left="312" w:hanging="312"/>
              <w:rPr>
                <w:rFonts w:ascii="Times New Roman" w:hAnsi="Times New Roman" w:cs="Times New Roman"/>
                <w:sz w:val="18"/>
                <w:szCs w:val="18"/>
              </w:rPr>
            </w:pPr>
            <w:r w:rsidRPr="005B779A">
              <w:rPr>
                <w:rFonts w:ascii="Times New Roman" w:hAnsi="Times New Roman" w:cs="Times New Roman"/>
                <w:sz w:val="18"/>
                <w:szCs w:val="18"/>
              </w:rPr>
              <w:t>b)</w:t>
            </w:r>
            <w:r w:rsidRPr="005B779A">
              <w:rPr>
                <w:rFonts w:ascii="Times New Roman" w:hAnsi="Times New Roman" w:cs="Times New Roman"/>
                <w:sz w:val="18"/>
                <w:szCs w:val="18"/>
              </w:rPr>
              <w:tab/>
              <w:t>falli útboðið undir samning um sölutryggingu á grundvelli fastrar skuldbindingar skal tilgreina hvern þann hluta sem fellur ekki undir trygginguna,</w:t>
            </w:r>
          </w:p>
          <w:p w:rsidR="00724FB8" w:rsidRPr="005B779A" w:rsidRDefault="00724FB8" w:rsidP="00724FB8">
            <w:pPr>
              <w:pStyle w:val="Tflutexti"/>
              <w:spacing w:before="0"/>
              <w:ind w:left="312" w:hanging="312"/>
              <w:rPr>
                <w:rFonts w:ascii="Times New Roman" w:hAnsi="Times New Roman" w:cs="Times New Roman"/>
                <w:sz w:val="18"/>
                <w:szCs w:val="18"/>
              </w:rPr>
            </w:pPr>
            <w:r w:rsidRPr="005B779A">
              <w:rPr>
                <w:rFonts w:ascii="Times New Roman" w:hAnsi="Times New Roman" w:cs="Times New Roman"/>
                <w:sz w:val="18"/>
                <w:szCs w:val="18"/>
              </w:rPr>
              <w:t>c)</w:t>
            </w:r>
            <w:r w:rsidRPr="005B779A">
              <w:rPr>
                <w:rFonts w:ascii="Times New Roman" w:hAnsi="Times New Roman" w:cs="Times New Roman"/>
                <w:sz w:val="18"/>
                <w:szCs w:val="18"/>
              </w:rPr>
              <w:tab/>
              <w:t>lýsing á öllum helstu hagsmunaárekstrum í tengslum við útboðið eða töku til viðskipta sem lýst er í lýsingunni.</w:t>
            </w:r>
          </w:p>
        </w:tc>
      </w:tr>
      <w:tr w:rsidR="00724FB8" w:rsidRPr="005B779A" w:rsidTr="00580C75">
        <w:trPr>
          <w:trHeight w:val="567"/>
        </w:trPr>
        <w:tc>
          <w:tcPr>
            <w:tcW w:w="851" w:type="dxa"/>
          </w:tcPr>
          <w:p w:rsidR="00724FB8" w:rsidRPr="005B779A" w:rsidRDefault="00724FB8" w:rsidP="00580C75">
            <w:pPr>
              <w:pStyle w:val="Tflutexti"/>
              <w:spacing w:after="0"/>
              <w:ind w:left="-12" w:right="-1"/>
              <w:jc w:val="left"/>
              <w:rPr>
                <w:rFonts w:ascii="Times New Roman" w:hAnsi="Times New Roman" w:cs="Times New Roman"/>
                <w:sz w:val="18"/>
                <w:szCs w:val="18"/>
              </w:rPr>
            </w:pPr>
          </w:p>
        </w:tc>
        <w:tc>
          <w:tcPr>
            <w:tcW w:w="1134" w:type="dxa"/>
          </w:tcPr>
          <w:p w:rsidR="00724FB8" w:rsidRPr="005B779A" w:rsidRDefault="0096731F"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4.3.</w:t>
            </w:r>
          </w:p>
        </w:tc>
        <w:tc>
          <w:tcPr>
            <w:tcW w:w="7229" w:type="dxa"/>
          </w:tcPr>
          <w:p w:rsidR="00724FB8" w:rsidRPr="005B779A" w:rsidRDefault="0096731F" w:rsidP="007159E4">
            <w:pPr>
              <w:pStyle w:val="Tflutexti"/>
              <w:rPr>
                <w:rFonts w:ascii="Times New Roman" w:hAnsi="Times New Roman" w:cs="Times New Roman"/>
                <w:sz w:val="18"/>
                <w:szCs w:val="18"/>
              </w:rPr>
            </w:pPr>
            <w:r w:rsidRPr="005B779A">
              <w:rPr>
                <w:rFonts w:ascii="Times New Roman" w:hAnsi="Times New Roman" w:cs="Times New Roman"/>
                <w:sz w:val="18"/>
                <w:szCs w:val="18"/>
              </w:rPr>
              <w:t>Hver er tilboðsgjafinn og/eða aðilinn sem óskar eftir töku til viðskipta?</w:t>
            </w:r>
          </w:p>
        </w:tc>
      </w:tr>
      <w:tr w:rsidR="00F52FA3" w:rsidRPr="005B779A" w:rsidTr="00580C75">
        <w:trPr>
          <w:trHeight w:val="567"/>
        </w:trPr>
        <w:tc>
          <w:tcPr>
            <w:tcW w:w="851" w:type="dxa"/>
          </w:tcPr>
          <w:p w:rsidR="00F52FA3" w:rsidRPr="005B779A" w:rsidRDefault="00F52FA3" w:rsidP="00580C75">
            <w:pPr>
              <w:pStyle w:val="Tflutexti"/>
              <w:spacing w:after="0"/>
              <w:ind w:left="-12" w:right="-1"/>
              <w:jc w:val="left"/>
              <w:rPr>
                <w:rFonts w:ascii="Times New Roman" w:hAnsi="Times New Roman" w:cs="Times New Roman"/>
                <w:sz w:val="18"/>
                <w:szCs w:val="18"/>
              </w:rPr>
            </w:pPr>
          </w:p>
        </w:tc>
        <w:tc>
          <w:tcPr>
            <w:tcW w:w="1134" w:type="dxa"/>
          </w:tcPr>
          <w:p w:rsidR="00F52FA3" w:rsidRPr="005B779A" w:rsidRDefault="00F52FA3" w:rsidP="00580C75">
            <w:pPr>
              <w:pStyle w:val="Tflutexti"/>
              <w:spacing w:line="240" w:lineRule="auto"/>
              <w:ind w:left="-12" w:right="-1"/>
              <w:rPr>
                <w:rFonts w:ascii="Times New Roman" w:hAnsi="Times New Roman" w:cs="Times New Roman"/>
                <w:sz w:val="18"/>
                <w:szCs w:val="18"/>
              </w:rPr>
            </w:pPr>
            <w:r w:rsidRPr="005B779A">
              <w:rPr>
                <w:rFonts w:ascii="Times New Roman" w:hAnsi="Times New Roman" w:cs="Times New Roman"/>
                <w:sz w:val="18"/>
                <w:szCs w:val="18"/>
              </w:rPr>
              <w:t>Liður 4.3.1.</w:t>
            </w:r>
          </w:p>
        </w:tc>
        <w:tc>
          <w:tcPr>
            <w:tcW w:w="7229" w:type="dxa"/>
          </w:tcPr>
          <w:p w:rsidR="00F52FA3" w:rsidRPr="005B779A" w:rsidRDefault="00F52FA3" w:rsidP="007159E4">
            <w:pPr>
              <w:pStyle w:val="Tflutexti"/>
              <w:rPr>
                <w:rFonts w:ascii="Times New Roman" w:hAnsi="Times New Roman" w:cs="Times New Roman"/>
                <w:sz w:val="18"/>
                <w:szCs w:val="18"/>
              </w:rPr>
            </w:pPr>
            <w:r w:rsidRPr="005B779A">
              <w:rPr>
                <w:rFonts w:ascii="Times New Roman" w:hAnsi="Times New Roman" w:cs="Times New Roman"/>
                <w:sz w:val="18"/>
                <w:szCs w:val="18"/>
              </w:rPr>
              <w:t>Sé tilboðsgjafinn annar en útgefandinn skal gefa stutta lýsingu á tilboðsgjafa verðbréfanna og/eða aðilanum sem óskar eftir töku til viðskipta á markaðstorgi fjármálagerninga eða vaxtarmarkaði lítilla eða meðalstórra fyrirtækja, þ.m.t. tilgreina lögheimili hans og rekstrarform, löggjöf sem hann starfar sam</w:t>
            </w:r>
            <w:r w:rsidR="00F774F1" w:rsidRPr="005B779A">
              <w:rPr>
                <w:rFonts w:ascii="Times New Roman" w:hAnsi="Times New Roman" w:cs="Times New Roman"/>
                <w:sz w:val="18"/>
                <w:szCs w:val="18"/>
              </w:rPr>
              <w:softHyphen/>
            </w:r>
            <w:r w:rsidRPr="005B779A">
              <w:rPr>
                <w:rFonts w:ascii="Times New Roman" w:hAnsi="Times New Roman" w:cs="Times New Roman"/>
                <w:sz w:val="18"/>
                <w:szCs w:val="18"/>
              </w:rPr>
              <w:t>kvæmt og skráningarland hans.</w:t>
            </w:r>
          </w:p>
        </w:tc>
      </w:tr>
    </w:tbl>
    <w:p w:rsidR="00F21758" w:rsidRPr="005B779A" w:rsidRDefault="00F21758" w:rsidP="00264C96">
      <w:pPr>
        <w:rPr>
          <w:rFonts w:ascii="Times New Roman" w:hAnsi="Times New Roman" w:cs="Times New Roman"/>
          <w:sz w:val="18"/>
          <w:szCs w:val="18"/>
        </w:rPr>
      </w:pPr>
    </w:p>
    <w:sectPr w:rsidR="00F21758" w:rsidRPr="005B779A" w:rsidSect="0023476A">
      <w:headerReference w:type="default" r:id="rId8"/>
      <w:footerReference w:type="default" r:id="rId9"/>
      <w:headerReference w:type="first" r:id="rId10"/>
      <w:footerReference w:type="first" r:id="rId11"/>
      <w:pgSz w:w="11900" w:h="16820"/>
      <w:pgMar w:top="1985" w:right="1418" w:bottom="1440"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90F" w:rsidRDefault="004B390F" w:rsidP="004C2AD6">
      <w:r>
        <w:separator/>
      </w:r>
    </w:p>
  </w:endnote>
  <w:endnote w:type="continuationSeparator" w:id="0">
    <w:p w:rsidR="004B390F" w:rsidRDefault="004B390F"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312" w:rsidRPr="007F6312" w:rsidRDefault="007F6312" w:rsidP="007F6312">
    <w:pPr>
      <w:pStyle w:val="Footer"/>
      <w:tabs>
        <w:tab w:val="clear" w:pos="9360"/>
        <w:tab w:val="center" w:pos="4532"/>
      </w:tabs>
      <w:rPr>
        <w:b/>
        <w:i/>
      </w:rPr>
    </w:pPr>
    <w:r w:rsidRPr="007F6312">
      <w:tab/>
    </w:r>
    <w:sdt>
      <w:sdtPr>
        <w:rPr>
          <w:b/>
          <w:i/>
        </w:rPr>
        <w:id w:val="121507023"/>
        <w:docPartObj>
          <w:docPartGallery w:val="Page Numbers (Bottom of Page)"/>
          <w:docPartUnique/>
        </w:docPartObj>
      </w:sdtPr>
      <w:sdtEndPr>
        <w:rPr>
          <w:i w:val="0"/>
          <w:noProof/>
        </w:rPr>
      </w:sdtEndPr>
      <w:sdtContent>
        <w:r w:rsidRPr="001E5E3E">
          <w:rPr>
            <w:rFonts w:ascii="Syntax LT Std" w:hAnsi="Syntax LT Std"/>
            <w:b/>
            <w:sz w:val="18"/>
            <w:szCs w:val="18"/>
          </w:rPr>
          <w:fldChar w:fldCharType="begin"/>
        </w:r>
        <w:r w:rsidRPr="001E5E3E">
          <w:rPr>
            <w:rFonts w:ascii="Syntax LT Std" w:hAnsi="Syntax LT Std"/>
            <w:sz w:val="18"/>
            <w:szCs w:val="18"/>
          </w:rPr>
          <w:instrText xml:space="preserve"> PAGE   \* MERGEFORMAT </w:instrText>
        </w:r>
        <w:r w:rsidRPr="001E5E3E">
          <w:rPr>
            <w:rFonts w:ascii="Syntax LT Std" w:hAnsi="Syntax LT Std"/>
            <w:b/>
            <w:sz w:val="18"/>
            <w:szCs w:val="18"/>
          </w:rPr>
          <w:fldChar w:fldCharType="separate"/>
        </w:r>
        <w:r w:rsidR="005B779A" w:rsidRPr="005B779A">
          <w:rPr>
            <w:rFonts w:ascii="Syntax LT Std" w:hAnsi="Syntax LT Std"/>
            <w:b/>
            <w:noProof/>
            <w:sz w:val="18"/>
            <w:szCs w:val="18"/>
          </w:rPr>
          <w:t>2</w:t>
        </w:r>
        <w:r w:rsidRPr="001E5E3E">
          <w:rPr>
            <w:rFonts w:ascii="Syntax LT Std" w:hAnsi="Syntax LT Std"/>
            <w:b/>
            <w:noProof/>
            <w:sz w:val="18"/>
            <w:szCs w:val="18"/>
          </w:rPr>
          <w:fldChar w:fldCharType="end"/>
        </w:r>
      </w:sdtContent>
    </w:sdt>
    <w:r w:rsidRPr="001E5E3E">
      <w:rPr>
        <w:noProof/>
      </w:rPr>
      <w:tab/>
    </w:r>
    <w:r w:rsidRPr="007F6312">
      <w:rPr>
        <w:noProof/>
      </w:rPr>
      <w:tab/>
    </w:r>
  </w:p>
  <w:p w:rsidR="007F6312" w:rsidRPr="007F6312" w:rsidRDefault="007F6312">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86433"/>
      <w:docPartObj>
        <w:docPartGallery w:val="Page Numbers (Bottom of Page)"/>
        <w:docPartUnique/>
      </w:docPartObj>
    </w:sdtPr>
    <w:sdtEndPr>
      <w:rPr>
        <w:rFonts w:ascii="Syntax LT Std" w:hAnsi="Syntax LT Std"/>
        <w:b/>
        <w:noProof/>
        <w:sz w:val="18"/>
        <w:szCs w:val="18"/>
      </w:rPr>
    </w:sdtEndPr>
    <w:sdtContent>
      <w:p w:rsidR="007B0B36" w:rsidRPr="007B5B30" w:rsidRDefault="007B0B36">
        <w:pPr>
          <w:pStyle w:val="Footer"/>
          <w:jc w:val="center"/>
          <w:rPr>
            <w:rFonts w:ascii="Syntax LT Std" w:hAnsi="Syntax LT Std"/>
            <w:b/>
            <w:sz w:val="18"/>
            <w:szCs w:val="18"/>
          </w:rPr>
        </w:pPr>
        <w:r w:rsidRPr="007B5B30">
          <w:rPr>
            <w:rFonts w:ascii="Syntax LT Std" w:hAnsi="Syntax LT Std"/>
            <w:b/>
            <w:sz w:val="18"/>
            <w:szCs w:val="18"/>
          </w:rPr>
          <w:fldChar w:fldCharType="begin"/>
        </w:r>
        <w:r w:rsidRPr="007B5B30">
          <w:rPr>
            <w:rFonts w:ascii="Syntax LT Std" w:hAnsi="Syntax LT Std"/>
            <w:sz w:val="18"/>
            <w:szCs w:val="18"/>
          </w:rPr>
          <w:instrText xml:space="preserve"> PAGE   \* MERGEFORMAT </w:instrText>
        </w:r>
        <w:r w:rsidRPr="007B5B30">
          <w:rPr>
            <w:rFonts w:ascii="Syntax LT Std" w:hAnsi="Syntax LT Std"/>
            <w:b/>
            <w:sz w:val="18"/>
            <w:szCs w:val="18"/>
          </w:rPr>
          <w:fldChar w:fldCharType="separate"/>
        </w:r>
        <w:r w:rsidR="005B779A" w:rsidRPr="005B779A">
          <w:rPr>
            <w:rFonts w:ascii="Syntax LT Std" w:hAnsi="Syntax LT Std"/>
            <w:b/>
            <w:noProof/>
            <w:sz w:val="18"/>
            <w:szCs w:val="18"/>
          </w:rPr>
          <w:t>1</w:t>
        </w:r>
        <w:r w:rsidRPr="007B5B30">
          <w:rPr>
            <w:rFonts w:ascii="Syntax LT Std" w:hAnsi="Syntax LT Std"/>
            <w:b/>
            <w:noProof/>
            <w:sz w:val="18"/>
            <w:szCs w:val="18"/>
          </w:rPr>
          <w:fldChar w:fldCharType="end"/>
        </w:r>
      </w:p>
    </w:sdtContent>
  </w:sdt>
  <w:p w:rsidR="007B0B36" w:rsidRDefault="007B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90F" w:rsidRDefault="004B390F" w:rsidP="004C2AD6">
      <w:r>
        <w:separator/>
      </w:r>
    </w:p>
  </w:footnote>
  <w:footnote w:type="continuationSeparator" w:id="0">
    <w:p w:rsidR="004B390F" w:rsidRDefault="004B390F" w:rsidP="004C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76A" w:rsidRDefault="0023476A">
    <w:pPr>
      <w:pStyle w:val="Header"/>
    </w:pPr>
  </w:p>
  <w:p w:rsidR="0023476A" w:rsidRDefault="0023476A">
    <w:pPr>
      <w:pStyle w:val="Header"/>
    </w:pPr>
    <w:r>
      <w:rPr>
        <w:noProof/>
        <w:lang w:val="is-IS" w:eastAsia="is-IS"/>
      </w:rPr>
      <w:drawing>
        <wp:inline distT="0" distB="0" distL="0" distR="0">
          <wp:extent cx="1728000" cy="216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36" w:rsidRDefault="007B0B36">
    <w:pPr>
      <w:pStyle w:val="Header"/>
    </w:pPr>
    <w:r>
      <w:rPr>
        <w:noProof/>
        <w:lang w:val="is-IS" w:eastAsia="is-IS"/>
      </w:rPr>
      <w:drawing>
        <wp:inline distT="0" distB="0" distL="0" distR="0" wp14:anchorId="747FB19C" wp14:editId="61CD99CB">
          <wp:extent cx="2867025" cy="7452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9B"/>
    <w:multiLevelType w:val="hybridMultilevel"/>
    <w:tmpl w:val="E228D57C"/>
    <w:lvl w:ilvl="0" w:tplc="94B67BD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2BA5663"/>
    <w:multiLevelType w:val="hybridMultilevel"/>
    <w:tmpl w:val="5F1405C8"/>
    <w:lvl w:ilvl="0" w:tplc="22FED7E0">
      <w:start w:val="1"/>
      <w:numFmt w:val="lowerLetter"/>
      <w:lvlText w:val="%1)"/>
      <w:lvlJc w:val="left"/>
      <w:pPr>
        <w:ind w:left="722" w:hanging="705"/>
      </w:pPr>
      <w:rPr>
        <w:rFonts w:hint="default"/>
      </w:rPr>
    </w:lvl>
    <w:lvl w:ilvl="1" w:tplc="040F0019" w:tentative="1">
      <w:start w:val="1"/>
      <w:numFmt w:val="lowerLetter"/>
      <w:lvlText w:val="%2."/>
      <w:lvlJc w:val="left"/>
      <w:pPr>
        <w:ind w:left="1097" w:hanging="360"/>
      </w:pPr>
    </w:lvl>
    <w:lvl w:ilvl="2" w:tplc="040F001B" w:tentative="1">
      <w:start w:val="1"/>
      <w:numFmt w:val="lowerRoman"/>
      <w:lvlText w:val="%3."/>
      <w:lvlJc w:val="right"/>
      <w:pPr>
        <w:ind w:left="1817" w:hanging="180"/>
      </w:pPr>
    </w:lvl>
    <w:lvl w:ilvl="3" w:tplc="040F000F" w:tentative="1">
      <w:start w:val="1"/>
      <w:numFmt w:val="decimal"/>
      <w:lvlText w:val="%4."/>
      <w:lvlJc w:val="left"/>
      <w:pPr>
        <w:ind w:left="2537" w:hanging="360"/>
      </w:pPr>
    </w:lvl>
    <w:lvl w:ilvl="4" w:tplc="040F0019" w:tentative="1">
      <w:start w:val="1"/>
      <w:numFmt w:val="lowerLetter"/>
      <w:lvlText w:val="%5."/>
      <w:lvlJc w:val="left"/>
      <w:pPr>
        <w:ind w:left="3257" w:hanging="360"/>
      </w:pPr>
    </w:lvl>
    <w:lvl w:ilvl="5" w:tplc="040F001B" w:tentative="1">
      <w:start w:val="1"/>
      <w:numFmt w:val="lowerRoman"/>
      <w:lvlText w:val="%6."/>
      <w:lvlJc w:val="right"/>
      <w:pPr>
        <w:ind w:left="3977" w:hanging="180"/>
      </w:pPr>
    </w:lvl>
    <w:lvl w:ilvl="6" w:tplc="040F000F" w:tentative="1">
      <w:start w:val="1"/>
      <w:numFmt w:val="decimal"/>
      <w:lvlText w:val="%7."/>
      <w:lvlJc w:val="left"/>
      <w:pPr>
        <w:ind w:left="4697" w:hanging="360"/>
      </w:pPr>
    </w:lvl>
    <w:lvl w:ilvl="7" w:tplc="040F0019" w:tentative="1">
      <w:start w:val="1"/>
      <w:numFmt w:val="lowerLetter"/>
      <w:lvlText w:val="%8."/>
      <w:lvlJc w:val="left"/>
      <w:pPr>
        <w:ind w:left="5417" w:hanging="360"/>
      </w:pPr>
    </w:lvl>
    <w:lvl w:ilvl="8" w:tplc="040F001B" w:tentative="1">
      <w:start w:val="1"/>
      <w:numFmt w:val="lowerRoman"/>
      <w:lvlText w:val="%9."/>
      <w:lvlJc w:val="right"/>
      <w:pPr>
        <w:ind w:left="6137" w:hanging="180"/>
      </w:pPr>
    </w:lvl>
  </w:abstractNum>
  <w:abstractNum w:abstractNumId="2"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3" w15:restartNumberingAfterBreak="0">
    <w:nsid w:val="1457064B"/>
    <w:multiLevelType w:val="hybridMultilevel"/>
    <w:tmpl w:val="EF54123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4F1114B"/>
    <w:multiLevelType w:val="hybridMultilevel"/>
    <w:tmpl w:val="F2A2C30E"/>
    <w:lvl w:ilvl="0" w:tplc="133E72E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6" w15:restartNumberingAfterBreak="0">
    <w:nsid w:val="17AB28D3"/>
    <w:multiLevelType w:val="hybridMultilevel"/>
    <w:tmpl w:val="976A2776"/>
    <w:lvl w:ilvl="0" w:tplc="963A94BC">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9CA0C35"/>
    <w:multiLevelType w:val="hybridMultilevel"/>
    <w:tmpl w:val="6E24E5F6"/>
    <w:lvl w:ilvl="0" w:tplc="95E2AEB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6BC4508"/>
    <w:multiLevelType w:val="hybridMultilevel"/>
    <w:tmpl w:val="421A386E"/>
    <w:lvl w:ilvl="0" w:tplc="D566628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B866030"/>
    <w:multiLevelType w:val="hybridMultilevel"/>
    <w:tmpl w:val="CA34ACD8"/>
    <w:lvl w:ilvl="0" w:tplc="DA7E9E8C">
      <w:start w:val="1"/>
      <w:numFmt w:val="lowerLetter"/>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2" w15:restartNumberingAfterBreak="0">
    <w:nsid w:val="2C893FE5"/>
    <w:multiLevelType w:val="hybridMultilevel"/>
    <w:tmpl w:val="82F0ACB8"/>
    <w:lvl w:ilvl="0" w:tplc="DB14085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1B0748A"/>
    <w:multiLevelType w:val="hybridMultilevel"/>
    <w:tmpl w:val="437A1DD6"/>
    <w:lvl w:ilvl="0" w:tplc="AFB06ED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15" w15:restartNumberingAfterBreak="0">
    <w:nsid w:val="3EED4830"/>
    <w:multiLevelType w:val="hybridMultilevel"/>
    <w:tmpl w:val="CA34ACD8"/>
    <w:lvl w:ilvl="0" w:tplc="DA7E9E8C">
      <w:start w:val="1"/>
      <w:numFmt w:val="lowerLetter"/>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6"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17"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18" w15:restartNumberingAfterBreak="0">
    <w:nsid w:val="49975DE5"/>
    <w:multiLevelType w:val="hybridMultilevel"/>
    <w:tmpl w:val="13004238"/>
    <w:lvl w:ilvl="0" w:tplc="4F3653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4B26306A"/>
    <w:multiLevelType w:val="hybridMultilevel"/>
    <w:tmpl w:val="878A5642"/>
    <w:lvl w:ilvl="0" w:tplc="A796A16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4B2A4D42"/>
    <w:multiLevelType w:val="hybridMultilevel"/>
    <w:tmpl w:val="41885D98"/>
    <w:lvl w:ilvl="0" w:tplc="A7FAC66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B56463D"/>
    <w:multiLevelType w:val="hybridMultilevel"/>
    <w:tmpl w:val="3DF40772"/>
    <w:lvl w:ilvl="0" w:tplc="16DC65DC">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5FD6539B"/>
    <w:multiLevelType w:val="hybridMultilevel"/>
    <w:tmpl w:val="E12E22D6"/>
    <w:lvl w:ilvl="0" w:tplc="AFB06ED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66C97301"/>
    <w:multiLevelType w:val="hybridMultilevel"/>
    <w:tmpl w:val="AF8E56D2"/>
    <w:lvl w:ilvl="0" w:tplc="32AA02F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60736"/>
    <w:multiLevelType w:val="hybridMultilevel"/>
    <w:tmpl w:val="437A1DD6"/>
    <w:lvl w:ilvl="0" w:tplc="AFB06ED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6BD64DF3"/>
    <w:multiLevelType w:val="hybridMultilevel"/>
    <w:tmpl w:val="D0F866FE"/>
    <w:lvl w:ilvl="0" w:tplc="6D2EE41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6E0E59D8"/>
    <w:multiLevelType w:val="hybridMultilevel"/>
    <w:tmpl w:val="996E7570"/>
    <w:lvl w:ilvl="0" w:tplc="E84438E2">
      <w:start w:val="1"/>
      <w:numFmt w:val="lowerLetter"/>
      <w:lvlText w:val="%1)"/>
      <w:lvlJc w:val="left"/>
      <w:pPr>
        <w:ind w:left="437" w:hanging="420"/>
      </w:pPr>
      <w:rPr>
        <w:rFonts w:hint="default"/>
      </w:rPr>
    </w:lvl>
    <w:lvl w:ilvl="1" w:tplc="040F0019" w:tentative="1">
      <w:start w:val="1"/>
      <w:numFmt w:val="lowerLetter"/>
      <w:lvlText w:val="%2."/>
      <w:lvlJc w:val="left"/>
      <w:pPr>
        <w:ind w:left="1097" w:hanging="360"/>
      </w:pPr>
    </w:lvl>
    <w:lvl w:ilvl="2" w:tplc="040F001B" w:tentative="1">
      <w:start w:val="1"/>
      <w:numFmt w:val="lowerRoman"/>
      <w:lvlText w:val="%3."/>
      <w:lvlJc w:val="right"/>
      <w:pPr>
        <w:ind w:left="1817" w:hanging="180"/>
      </w:pPr>
    </w:lvl>
    <w:lvl w:ilvl="3" w:tplc="040F000F" w:tentative="1">
      <w:start w:val="1"/>
      <w:numFmt w:val="decimal"/>
      <w:lvlText w:val="%4."/>
      <w:lvlJc w:val="left"/>
      <w:pPr>
        <w:ind w:left="2537" w:hanging="360"/>
      </w:pPr>
    </w:lvl>
    <w:lvl w:ilvl="4" w:tplc="040F0019" w:tentative="1">
      <w:start w:val="1"/>
      <w:numFmt w:val="lowerLetter"/>
      <w:lvlText w:val="%5."/>
      <w:lvlJc w:val="left"/>
      <w:pPr>
        <w:ind w:left="3257" w:hanging="360"/>
      </w:pPr>
    </w:lvl>
    <w:lvl w:ilvl="5" w:tplc="040F001B" w:tentative="1">
      <w:start w:val="1"/>
      <w:numFmt w:val="lowerRoman"/>
      <w:lvlText w:val="%6."/>
      <w:lvlJc w:val="right"/>
      <w:pPr>
        <w:ind w:left="3977" w:hanging="180"/>
      </w:pPr>
    </w:lvl>
    <w:lvl w:ilvl="6" w:tplc="040F000F" w:tentative="1">
      <w:start w:val="1"/>
      <w:numFmt w:val="decimal"/>
      <w:lvlText w:val="%7."/>
      <w:lvlJc w:val="left"/>
      <w:pPr>
        <w:ind w:left="4697" w:hanging="360"/>
      </w:pPr>
    </w:lvl>
    <w:lvl w:ilvl="7" w:tplc="040F0019" w:tentative="1">
      <w:start w:val="1"/>
      <w:numFmt w:val="lowerLetter"/>
      <w:lvlText w:val="%8."/>
      <w:lvlJc w:val="left"/>
      <w:pPr>
        <w:ind w:left="5417" w:hanging="360"/>
      </w:pPr>
    </w:lvl>
    <w:lvl w:ilvl="8" w:tplc="040F001B" w:tentative="1">
      <w:start w:val="1"/>
      <w:numFmt w:val="lowerRoman"/>
      <w:lvlText w:val="%9."/>
      <w:lvlJc w:val="right"/>
      <w:pPr>
        <w:ind w:left="6137" w:hanging="180"/>
      </w:pPr>
    </w:lvl>
  </w:abstractNum>
  <w:abstractNum w:abstractNumId="32" w15:restartNumberingAfterBreak="0">
    <w:nsid w:val="6F737072"/>
    <w:multiLevelType w:val="hybridMultilevel"/>
    <w:tmpl w:val="FB4AFCE0"/>
    <w:lvl w:ilvl="0" w:tplc="FC46A882">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79D81D13"/>
    <w:multiLevelType w:val="hybridMultilevel"/>
    <w:tmpl w:val="E6784C12"/>
    <w:lvl w:ilvl="0" w:tplc="BE34645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7C935A9E"/>
    <w:multiLevelType w:val="hybridMultilevel"/>
    <w:tmpl w:val="1B7254CC"/>
    <w:lvl w:ilvl="0" w:tplc="D256E52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7"/>
  </w:num>
  <w:num w:numId="2">
    <w:abstractNumId w:val="21"/>
  </w:num>
  <w:num w:numId="3">
    <w:abstractNumId w:val="9"/>
  </w:num>
  <w:num w:numId="4">
    <w:abstractNumId w:val="2"/>
  </w:num>
  <w:num w:numId="5">
    <w:abstractNumId w:val="14"/>
  </w:num>
  <w:num w:numId="6">
    <w:abstractNumId w:val="8"/>
  </w:num>
  <w:num w:numId="7">
    <w:abstractNumId w:val="24"/>
  </w:num>
  <w:num w:numId="8">
    <w:abstractNumId w:val="25"/>
  </w:num>
  <w:num w:numId="9">
    <w:abstractNumId w:val="17"/>
  </w:num>
  <w:num w:numId="10">
    <w:abstractNumId w:val="5"/>
  </w:num>
  <w:num w:numId="11">
    <w:abstractNumId w:val="30"/>
  </w:num>
  <w:num w:numId="12">
    <w:abstractNumId w:val="16"/>
  </w:num>
  <w:num w:numId="13">
    <w:abstractNumId w:val="35"/>
  </w:num>
  <w:num w:numId="14">
    <w:abstractNumId w:val="20"/>
  </w:num>
  <w:num w:numId="15">
    <w:abstractNumId w:val="22"/>
  </w:num>
  <w:num w:numId="16">
    <w:abstractNumId w:val="26"/>
  </w:num>
  <w:num w:numId="17">
    <w:abstractNumId w:val="1"/>
  </w:num>
  <w:num w:numId="18">
    <w:abstractNumId w:val="19"/>
  </w:num>
  <w:num w:numId="19">
    <w:abstractNumId w:val="7"/>
  </w:num>
  <w:num w:numId="20">
    <w:abstractNumId w:val="29"/>
  </w:num>
  <w:num w:numId="21">
    <w:abstractNumId w:val="32"/>
  </w:num>
  <w:num w:numId="22">
    <w:abstractNumId w:val="15"/>
  </w:num>
  <w:num w:numId="23">
    <w:abstractNumId w:val="13"/>
  </w:num>
  <w:num w:numId="24">
    <w:abstractNumId w:val="28"/>
  </w:num>
  <w:num w:numId="25">
    <w:abstractNumId w:val="3"/>
  </w:num>
  <w:num w:numId="26">
    <w:abstractNumId w:val="23"/>
  </w:num>
  <w:num w:numId="27">
    <w:abstractNumId w:val="11"/>
  </w:num>
  <w:num w:numId="28">
    <w:abstractNumId w:val="12"/>
  </w:num>
  <w:num w:numId="29">
    <w:abstractNumId w:val="31"/>
  </w:num>
  <w:num w:numId="30">
    <w:abstractNumId w:val="34"/>
  </w:num>
  <w:num w:numId="31">
    <w:abstractNumId w:val="18"/>
  </w:num>
  <w:num w:numId="32">
    <w:abstractNumId w:val="0"/>
  </w:num>
  <w:num w:numId="33">
    <w:abstractNumId w:val="4"/>
  </w:num>
  <w:num w:numId="34">
    <w:abstractNumId w:val="33"/>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onsecutiveHyphenLimit w:val="4"/>
  <w:hyphenationZone w:val="425"/>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321F"/>
    <w:rsid w:val="00004000"/>
    <w:rsid w:val="000117D6"/>
    <w:rsid w:val="000472F2"/>
    <w:rsid w:val="00056346"/>
    <w:rsid w:val="00071910"/>
    <w:rsid w:val="0008056E"/>
    <w:rsid w:val="000969A7"/>
    <w:rsid w:val="000A4005"/>
    <w:rsid w:val="000C4A85"/>
    <w:rsid w:val="000E3F84"/>
    <w:rsid w:val="000F3288"/>
    <w:rsid w:val="00105AAA"/>
    <w:rsid w:val="00110951"/>
    <w:rsid w:val="00112D07"/>
    <w:rsid w:val="0011486D"/>
    <w:rsid w:val="00115C50"/>
    <w:rsid w:val="00145496"/>
    <w:rsid w:val="0014761D"/>
    <w:rsid w:val="0015527B"/>
    <w:rsid w:val="0016151E"/>
    <w:rsid w:val="00166A8A"/>
    <w:rsid w:val="00173F0B"/>
    <w:rsid w:val="001900B4"/>
    <w:rsid w:val="00197F7E"/>
    <w:rsid w:val="001A16B9"/>
    <w:rsid w:val="001A4B41"/>
    <w:rsid w:val="001C014B"/>
    <w:rsid w:val="001E5E3E"/>
    <w:rsid w:val="00201789"/>
    <w:rsid w:val="0023476A"/>
    <w:rsid w:val="00264C96"/>
    <w:rsid w:val="0027081A"/>
    <w:rsid w:val="00274D4A"/>
    <w:rsid w:val="002776DC"/>
    <w:rsid w:val="002834C2"/>
    <w:rsid w:val="002C14F6"/>
    <w:rsid w:val="002C1F03"/>
    <w:rsid w:val="002C4DEE"/>
    <w:rsid w:val="002D383E"/>
    <w:rsid w:val="002D5752"/>
    <w:rsid w:val="002E73A5"/>
    <w:rsid w:val="002F42A8"/>
    <w:rsid w:val="002F4DE5"/>
    <w:rsid w:val="002F5F5B"/>
    <w:rsid w:val="0034708D"/>
    <w:rsid w:val="003530CE"/>
    <w:rsid w:val="0036483A"/>
    <w:rsid w:val="0037551E"/>
    <w:rsid w:val="0038196C"/>
    <w:rsid w:val="00396E77"/>
    <w:rsid w:val="003A6ACB"/>
    <w:rsid w:val="003B26F8"/>
    <w:rsid w:val="003B7EF8"/>
    <w:rsid w:val="003C1AA7"/>
    <w:rsid w:val="003C3ED0"/>
    <w:rsid w:val="003D6E95"/>
    <w:rsid w:val="003F7D69"/>
    <w:rsid w:val="00400584"/>
    <w:rsid w:val="004055BE"/>
    <w:rsid w:val="00426D5F"/>
    <w:rsid w:val="00453322"/>
    <w:rsid w:val="00453E1B"/>
    <w:rsid w:val="00472427"/>
    <w:rsid w:val="0048155C"/>
    <w:rsid w:val="00497C41"/>
    <w:rsid w:val="004B390F"/>
    <w:rsid w:val="004C2AD6"/>
    <w:rsid w:val="004F7A17"/>
    <w:rsid w:val="0054114A"/>
    <w:rsid w:val="00553173"/>
    <w:rsid w:val="00554766"/>
    <w:rsid w:val="00580C75"/>
    <w:rsid w:val="005A29F9"/>
    <w:rsid w:val="005B6EED"/>
    <w:rsid w:val="005B779A"/>
    <w:rsid w:val="005F58FF"/>
    <w:rsid w:val="00606C30"/>
    <w:rsid w:val="00616F56"/>
    <w:rsid w:val="00620C4C"/>
    <w:rsid w:val="00625694"/>
    <w:rsid w:val="00646C80"/>
    <w:rsid w:val="00662A42"/>
    <w:rsid w:val="00673904"/>
    <w:rsid w:val="006743E4"/>
    <w:rsid w:val="00685FFA"/>
    <w:rsid w:val="006903A6"/>
    <w:rsid w:val="00695FBC"/>
    <w:rsid w:val="006A09C0"/>
    <w:rsid w:val="006A5B0B"/>
    <w:rsid w:val="006C5373"/>
    <w:rsid w:val="006C70F2"/>
    <w:rsid w:val="006D7F78"/>
    <w:rsid w:val="006E565B"/>
    <w:rsid w:val="006F6510"/>
    <w:rsid w:val="006F6A73"/>
    <w:rsid w:val="00706462"/>
    <w:rsid w:val="007159E4"/>
    <w:rsid w:val="00724FB8"/>
    <w:rsid w:val="00737D2D"/>
    <w:rsid w:val="00753BAC"/>
    <w:rsid w:val="00755030"/>
    <w:rsid w:val="00760BE8"/>
    <w:rsid w:val="007B0B36"/>
    <w:rsid w:val="007B4FD3"/>
    <w:rsid w:val="007B5B30"/>
    <w:rsid w:val="007E3186"/>
    <w:rsid w:val="007E461F"/>
    <w:rsid w:val="007F6312"/>
    <w:rsid w:val="00802B5F"/>
    <w:rsid w:val="008102DF"/>
    <w:rsid w:val="00833775"/>
    <w:rsid w:val="00843318"/>
    <w:rsid w:val="00850094"/>
    <w:rsid w:val="00852758"/>
    <w:rsid w:val="00855DF9"/>
    <w:rsid w:val="008615DA"/>
    <w:rsid w:val="00872C2D"/>
    <w:rsid w:val="00884E14"/>
    <w:rsid w:val="008D2569"/>
    <w:rsid w:val="008D3376"/>
    <w:rsid w:val="008E1516"/>
    <w:rsid w:val="00911C1E"/>
    <w:rsid w:val="00934E11"/>
    <w:rsid w:val="00955152"/>
    <w:rsid w:val="0096481A"/>
    <w:rsid w:val="009672BE"/>
    <w:rsid w:val="0096731F"/>
    <w:rsid w:val="009928B1"/>
    <w:rsid w:val="009A27C6"/>
    <w:rsid w:val="009B6F21"/>
    <w:rsid w:val="009C2663"/>
    <w:rsid w:val="009D0B31"/>
    <w:rsid w:val="009D541A"/>
    <w:rsid w:val="009E1659"/>
    <w:rsid w:val="009F36E9"/>
    <w:rsid w:val="00A6629E"/>
    <w:rsid w:val="00A861F4"/>
    <w:rsid w:val="00B271B8"/>
    <w:rsid w:val="00B724CE"/>
    <w:rsid w:val="00B75D56"/>
    <w:rsid w:val="00B851E6"/>
    <w:rsid w:val="00B97C91"/>
    <w:rsid w:val="00BC4587"/>
    <w:rsid w:val="00BF72D5"/>
    <w:rsid w:val="00BF735A"/>
    <w:rsid w:val="00C50053"/>
    <w:rsid w:val="00C5268A"/>
    <w:rsid w:val="00C555A0"/>
    <w:rsid w:val="00C714D6"/>
    <w:rsid w:val="00C7686E"/>
    <w:rsid w:val="00C80B98"/>
    <w:rsid w:val="00C83A85"/>
    <w:rsid w:val="00CB34D8"/>
    <w:rsid w:val="00CD20EA"/>
    <w:rsid w:val="00CD5159"/>
    <w:rsid w:val="00CF771D"/>
    <w:rsid w:val="00D11F82"/>
    <w:rsid w:val="00D14F33"/>
    <w:rsid w:val="00D16F4E"/>
    <w:rsid w:val="00D70593"/>
    <w:rsid w:val="00D94D99"/>
    <w:rsid w:val="00DB324A"/>
    <w:rsid w:val="00DE116E"/>
    <w:rsid w:val="00DF0B2D"/>
    <w:rsid w:val="00E1322B"/>
    <w:rsid w:val="00E272DD"/>
    <w:rsid w:val="00E62101"/>
    <w:rsid w:val="00E63D76"/>
    <w:rsid w:val="00E8597A"/>
    <w:rsid w:val="00E90779"/>
    <w:rsid w:val="00EA7704"/>
    <w:rsid w:val="00EB1F15"/>
    <w:rsid w:val="00EB2C0B"/>
    <w:rsid w:val="00EF0CBF"/>
    <w:rsid w:val="00EF7920"/>
    <w:rsid w:val="00F21758"/>
    <w:rsid w:val="00F256B2"/>
    <w:rsid w:val="00F349C5"/>
    <w:rsid w:val="00F52FA3"/>
    <w:rsid w:val="00F54F76"/>
    <w:rsid w:val="00F72C3C"/>
    <w:rsid w:val="00F75224"/>
    <w:rsid w:val="00F774F1"/>
    <w:rsid w:val="00FA026D"/>
    <w:rsid w:val="00FC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val="is-IS"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val="is-IS"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val="is-IS"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lang w:val="is-IS"/>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lang w:val="is-IS"/>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lang w:val="is-IS"/>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D14F33"/>
    <w:pPr>
      <w:spacing w:line="180" w:lineRule="exact"/>
      <w:ind w:left="284" w:hanging="284"/>
    </w:pPr>
    <w:rPr>
      <w:b w:val="0"/>
      <w:sz w:val="14"/>
    </w:rPr>
  </w:style>
  <w:style w:type="paragraph" w:customStyle="1" w:styleId="KaflaheitiFME">
    <w:name w:val="Kaflaheiti FME"/>
    <w:basedOn w:val="Heading1"/>
    <w:next w:val="Meginml"/>
    <w:qFormat/>
    <w:rsid w:val="007B4FD3"/>
    <w:pPr>
      <w:spacing w:after="200" w:line="290" w:lineRule="exact"/>
    </w:pPr>
    <w:rPr>
      <w:rFonts w:ascii="Syntax LT Std" w:hAnsi="Syntax LT Std"/>
      <w:color w:val="auto"/>
      <w:sz w:val="24"/>
    </w:rPr>
  </w:style>
  <w:style w:type="paragraph" w:customStyle="1" w:styleId="InndregiFME">
    <w:name w:val="Inndregið FME"/>
    <w:basedOn w:val="Meginml"/>
    <w:qFormat/>
    <w:rsid w:val="00D94D99"/>
    <w:pPr>
      <w:numPr>
        <w:numId w:val="1"/>
      </w:numPr>
    </w:pPr>
    <w:rPr>
      <w:lang w:val="is-IS"/>
    </w:r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lang w:val="is-IS"/>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lang w:val="is-IS"/>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lang w:val="is-IS"/>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lang w:val="is-IS"/>
    </w:rPr>
  </w:style>
  <w:style w:type="character" w:styleId="BookTitle">
    <w:name w:val="Book Title"/>
    <w:basedOn w:val="DefaultParagraphFont"/>
    <w:uiPriority w:val="33"/>
    <w:qFormat/>
    <w:rsid w:val="00C555A0"/>
    <w:rPr>
      <w:b/>
      <w:bCs/>
      <w:smallCaps/>
      <w:spacing w:val="10"/>
    </w:rPr>
  </w:style>
  <w:style w:type="paragraph" w:styleId="TOCHeading">
    <w:name w:val="TOC Heading"/>
    <w:basedOn w:val="Heading1"/>
    <w:next w:val="Normal"/>
    <w:uiPriority w:val="39"/>
    <w:semiHidden/>
    <w:unhideWhenUsed/>
    <w:qFormat/>
    <w:rsid w:val="00F21758"/>
    <w:pPr>
      <w:spacing w:before="400" w:after="40"/>
      <w:outlineLvl w:val="9"/>
    </w:pPr>
    <w:rPr>
      <w:color w:val="616163" w:themeColor="accent1" w:themeShade="80"/>
      <w:sz w:val="36"/>
      <w:szCs w:val="36"/>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03E483-492A-4EDC-9D7D-724472F3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248</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94</cp:revision>
  <cp:lastPrinted>2020-02-10T13:55:00Z</cp:lastPrinted>
  <dcterms:created xsi:type="dcterms:W3CDTF">2020-01-21T10:14:00Z</dcterms:created>
  <dcterms:modified xsi:type="dcterms:W3CDTF">2020-05-05T08:38:00Z</dcterms:modified>
</cp:coreProperties>
</file>