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701109" w:rsidRDefault="00B724CE" w:rsidP="00B724CE">
      <w:pPr>
        <w:pStyle w:val="FyrirsgnrauFMEbaratitill"/>
        <w:spacing w:after="120"/>
        <w:jc w:val="center"/>
        <w:rPr>
          <w:rFonts w:ascii="Times New Roman" w:hAnsi="Times New Roman" w:cs="Times New Roman"/>
          <w:color w:val="000000" w:themeColor="text1"/>
          <w:lang w:val="is-IS"/>
        </w:rPr>
      </w:pPr>
      <w:r w:rsidRPr="00701109">
        <w:rPr>
          <w:rFonts w:ascii="Times New Roman" w:hAnsi="Times New Roman" w:cs="Times New Roman"/>
          <w:color w:val="000000" w:themeColor="text1"/>
          <w:lang w:val="is-IS"/>
        </w:rPr>
        <w:t>1</w:t>
      </w:r>
      <w:r w:rsidR="002F4DE5" w:rsidRPr="00701109">
        <w:rPr>
          <w:rFonts w:ascii="Times New Roman" w:hAnsi="Times New Roman" w:cs="Times New Roman"/>
          <w:color w:val="000000" w:themeColor="text1"/>
          <w:lang w:val="is-IS"/>
        </w:rPr>
        <w:t>6</w:t>
      </w:r>
      <w:r w:rsidRPr="00701109">
        <w:rPr>
          <w:rFonts w:ascii="Times New Roman" w:hAnsi="Times New Roman" w:cs="Times New Roman"/>
          <w:color w:val="000000" w:themeColor="text1"/>
          <w:lang w:val="is-IS"/>
        </w:rPr>
        <w:t>. VIÐAUKI</w:t>
      </w:r>
    </w:p>
    <w:p w:rsidR="009D7181" w:rsidRPr="00701109" w:rsidRDefault="009D7181" w:rsidP="009D7181">
      <w:pPr>
        <w:pStyle w:val="Meginml"/>
        <w:jc w:val="center"/>
        <w:rPr>
          <w:rFonts w:ascii="Times New Roman" w:hAnsi="Times New Roman" w:cs="Times New Roman"/>
          <w:sz w:val="24"/>
        </w:rPr>
      </w:pPr>
      <w:r w:rsidRPr="00701109">
        <w:rPr>
          <w:rFonts w:ascii="Times New Roman" w:hAnsi="Times New Roman" w:cs="Times New Roman"/>
          <w:sz w:val="24"/>
        </w:rPr>
        <w:t>VERÐBRÉFALÝSING FYRIR SÍÐARI ÚTGÁFUR VERÐBRÉFA SEM EKKI ERU HLUTABRÉFATENGD</w:t>
      </w:r>
    </w:p>
    <w:p w:rsidR="00C555A0" w:rsidRPr="00701109" w:rsidRDefault="00B724CE" w:rsidP="009176B1">
      <w:pPr>
        <w:pStyle w:val="KaflaheitiFME"/>
        <w:spacing w:before="120"/>
        <w:jc w:val="center"/>
        <w:rPr>
          <w:rFonts w:ascii="Times New Roman" w:eastAsiaTheme="minorHAnsi" w:hAnsi="Times New Roman" w:cs="Times New Roman"/>
          <w:sz w:val="20"/>
          <w:szCs w:val="20"/>
          <w:lang w:val="is-IS"/>
        </w:rPr>
      </w:pPr>
      <w:r w:rsidRPr="00701109">
        <w:rPr>
          <w:rFonts w:ascii="Times New Roman" w:hAnsi="Times New Roman" w:cs="Times New Roman"/>
          <w:sz w:val="20"/>
          <w:szCs w:val="20"/>
          <w:lang w:val="is-IS"/>
        </w:rPr>
        <w:t>FRAMSELD REGL</w:t>
      </w:r>
      <w:r w:rsidR="00737999" w:rsidRPr="00701109">
        <w:rPr>
          <w:rFonts w:ascii="Times New Roman" w:hAnsi="Times New Roman" w:cs="Times New Roman"/>
          <w:sz w:val="20"/>
          <w:szCs w:val="20"/>
          <w:lang w:val="is-IS"/>
        </w:rPr>
        <w:t>U</w:t>
      </w:r>
      <w:r w:rsidRPr="00701109">
        <w:rPr>
          <w:rFonts w:ascii="Times New Roman" w:hAnsi="Times New Roman" w:cs="Times New Roman"/>
          <w:sz w:val="20"/>
          <w:szCs w:val="20"/>
          <w:lang w:val="is-IS"/>
        </w:rPr>
        <w:t>GERÐ FRAMKVÆMDASTJÓRNARINNAR (ESB) 2019/980</w:t>
      </w:r>
    </w:p>
    <w:p w:rsidR="009176B1" w:rsidRPr="00701109" w:rsidRDefault="009176B1" w:rsidP="009176B1">
      <w:pPr>
        <w:pStyle w:val="Meginml"/>
        <w:rPr>
          <w:rFonts w:ascii="Times New Roman" w:hAnsi="Times New Roman" w:cs="Times New Roman"/>
          <w:lang w:eastAsia="is-IS"/>
        </w:rPr>
      </w:pPr>
    </w:p>
    <w:p w:rsidR="009176B1" w:rsidRPr="00701109" w:rsidRDefault="009176B1" w:rsidP="009176B1">
      <w:pPr>
        <w:pStyle w:val="Meginml"/>
        <w:rPr>
          <w:rFonts w:ascii="Times New Roman" w:hAnsi="Times New Roman" w:cs="Times New Roman"/>
          <w:i/>
          <w:lang w:val="is-IS" w:eastAsia="is-IS"/>
        </w:rPr>
      </w:pPr>
      <w:r w:rsidRPr="00701109">
        <w:rPr>
          <w:rFonts w:ascii="Times New Roman" w:hAnsi="Times New Roman" w:cs="Times New Roman"/>
          <w:lang w:val="is-IS" w:eastAsia="is-IS"/>
        </w:rPr>
        <w:t>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w:t>
      </w:r>
      <w:r w:rsidRPr="00701109">
        <w:rPr>
          <w:rFonts w:ascii="Times New Roman" w:hAnsi="Times New Roman" w:cs="Times New Roman"/>
          <w:lang w:val="is-IS" w:eastAsia="is-IS"/>
        </w:rPr>
        <w:softHyphen/>
        <w:t>gerðarinnar sem gildir.</w:t>
      </w:r>
    </w:p>
    <w:p w:rsidR="007B4FD3" w:rsidRPr="00701109"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ayout w:type="fixed"/>
        <w:tblLook w:val="04A0" w:firstRow="1" w:lastRow="0" w:firstColumn="1" w:lastColumn="0" w:noHBand="0" w:noVBand="1"/>
      </w:tblPr>
      <w:tblGrid>
        <w:gridCol w:w="825"/>
        <w:gridCol w:w="1414"/>
        <w:gridCol w:w="6155"/>
        <w:gridCol w:w="26"/>
        <w:gridCol w:w="940"/>
      </w:tblGrid>
      <w:tr w:rsidR="002F4DE5" w:rsidRPr="00701109" w:rsidTr="009D7181">
        <w:trPr>
          <w:trHeight w:val="567"/>
        </w:trPr>
        <w:tc>
          <w:tcPr>
            <w:tcW w:w="825" w:type="dxa"/>
          </w:tcPr>
          <w:p w:rsidR="002F4DE5" w:rsidRPr="00701109" w:rsidRDefault="002F4DE5" w:rsidP="004055BE">
            <w:pPr>
              <w:pStyle w:val="Tflutexti"/>
              <w:spacing w:after="0"/>
              <w:jc w:val="left"/>
              <w:rPr>
                <w:rFonts w:ascii="Times New Roman" w:hAnsi="Times New Roman" w:cs="Times New Roman"/>
                <w:sz w:val="18"/>
                <w:szCs w:val="18"/>
              </w:rPr>
            </w:pPr>
            <w:r w:rsidRPr="00701109">
              <w:rPr>
                <w:rFonts w:ascii="Times New Roman" w:hAnsi="Times New Roman" w:cs="Times New Roman"/>
                <w:sz w:val="18"/>
                <w:szCs w:val="18"/>
              </w:rPr>
              <w:t>Kafli nr.</w:t>
            </w:r>
          </w:p>
          <w:p w:rsidR="002F4DE5" w:rsidRPr="00701109" w:rsidRDefault="002F4DE5" w:rsidP="007B5B30">
            <w:pPr>
              <w:pStyle w:val="Tflutexti"/>
              <w:spacing w:before="0" w:line="240" w:lineRule="auto"/>
              <w:jc w:val="left"/>
              <w:rPr>
                <w:rFonts w:ascii="Times New Roman" w:hAnsi="Times New Roman" w:cs="Times New Roman"/>
                <w:sz w:val="18"/>
                <w:szCs w:val="18"/>
              </w:rPr>
            </w:pPr>
            <w:r w:rsidRPr="00701109">
              <w:rPr>
                <w:rFonts w:ascii="Times New Roman" w:hAnsi="Times New Roman" w:cs="Times New Roman"/>
                <w:sz w:val="18"/>
                <w:szCs w:val="18"/>
              </w:rPr>
              <w:t>Bls. nr.</w:t>
            </w:r>
          </w:p>
        </w:tc>
        <w:tc>
          <w:tcPr>
            <w:tcW w:w="1414" w:type="dxa"/>
          </w:tcPr>
          <w:p w:rsidR="002F4DE5" w:rsidRPr="00701109" w:rsidRDefault="002F4DE5" w:rsidP="007B5B3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1. ÞÁTTUR</w:t>
            </w:r>
          </w:p>
        </w:tc>
        <w:tc>
          <w:tcPr>
            <w:tcW w:w="7121" w:type="dxa"/>
            <w:gridSpan w:val="3"/>
          </w:tcPr>
          <w:p w:rsidR="002F4DE5" w:rsidRPr="00701109" w:rsidRDefault="002F4DE5" w:rsidP="002F4DE5">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AÐILAR SEM BERA ÁBYRGÐ, UPPLÝSINGAR FRÁ ÞRIÐJU AÐILUM, SKÝRSLUR SÉRFRÆÐINGA OG STAÐ</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FESTING LÖGBÆRS YFIRVALDS</w:t>
            </w:r>
          </w:p>
        </w:tc>
      </w:tr>
      <w:tr w:rsidR="007B5B30" w:rsidRPr="00701109" w:rsidTr="009D7181">
        <w:trPr>
          <w:trHeight w:val="567"/>
        </w:trPr>
        <w:tc>
          <w:tcPr>
            <w:tcW w:w="825" w:type="dxa"/>
          </w:tcPr>
          <w:p w:rsidR="007B4FD3" w:rsidRPr="00701109" w:rsidRDefault="007B4FD3" w:rsidP="007B5B30">
            <w:pPr>
              <w:pStyle w:val="Tflutexti"/>
              <w:spacing w:before="240" w:line="240" w:lineRule="auto"/>
              <w:rPr>
                <w:rFonts w:ascii="Times New Roman" w:hAnsi="Times New Roman" w:cs="Times New Roman"/>
                <w:sz w:val="18"/>
                <w:szCs w:val="18"/>
              </w:rPr>
            </w:pPr>
          </w:p>
        </w:tc>
        <w:tc>
          <w:tcPr>
            <w:tcW w:w="1414" w:type="dxa"/>
          </w:tcPr>
          <w:p w:rsidR="007B4FD3" w:rsidRPr="00701109" w:rsidRDefault="00C555A0" w:rsidP="007B5B3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1.1.</w:t>
            </w:r>
          </w:p>
        </w:tc>
        <w:tc>
          <w:tcPr>
            <w:tcW w:w="6155" w:type="dxa"/>
          </w:tcPr>
          <w:p w:rsidR="007B4FD3" w:rsidRPr="00701109" w:rsidRDefault="002F4DE5" w:rsidP="002834C2">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c>
          <w:tcPr>
            <w:tcW w:w="966" w:type="dxa"/>
            <w:gridSpan w:val="2"/>
          </w:tcPr>
          <w:p w:rsidR="007B4FD3" w:rsidRPr="00701109" w:rsidRDefault="007B5B30" w:rsidP="0011486D">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tc>
      </w:tr>
      <w:tr w:rsidR="007B5B30" w:rsidRPr="00701109" w:rsidTr="009D7181">
        <w:trPr>
          <w:trHeight w:val="567"/>
        </w:trPr>
        <w:tc>
          <w:tcPr>
            <w:tcW w:w="825" w:type="dxa"/>
          </w:tcPr>
          <w:p w:rsidR="007B4FD3" w:rsidRPr="00701109" w:rsidRDefault="007B4FD3" w:rsidP="007B5B30">
            <w:pPr>
              <w:pStyle w:val="Tflutexti"/>
              <w:spacing w:before="240" w:line="240" w:lineRule="auto"/>
              <w:rPr>
                <w:rFonts w:ascii="Times New Roman" w:hAnsi="Times New Roman" w:cs="Times New Roman"/>
                <w:sz w:val="18"/>
                <w:szCs w:val="18"/>
              </w:rPr>
            </w:pPr>
          </w:p>
        </w:tc>
        <w:tc>
          <w:tcPr>
            <w:tcW w:w="1414" w:type="dxa"/>
          </w:tcPr>
          <w:p w:rsidR="007B4FD3" w:rsidRPr="00701109" w:rsidRDefault="00C555A0" w:rsidP="007B5B3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1.2.</w:t>
            </w:r>
          </w:p>
        </w:tc>
        <w:tc>
          <w:tcPr>
            <w:tcW w:w="6155" w:type="dxa"/>
          </w:tcPr>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lýsingum sé sleppt úr verðbréfalýsingunni sem gætu haft áhrif á áreiðanleika hennar.</w:t>
            </w:r>
          </w:p>
          <w:p w:rsidR="007B4FD3"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lýsingarinnar sem þeir bera ábyrgð á í samræmi við staðreyndir og að engum upplýsingum sé sleppt úr þeim hlutum sem gætu haft áhrif á áreiðanleika hennar.</w:t>
            </w:r>
          </w:p>
        </w:tc>
        <w:tc>
          <w:tcPr>
            <w:tcW w:w="966" w:type="dxa"/>
            <w:gridSpan w:val="2"/>
          </w:tcPr>
          <w:p w:rsidR="007B4FD3" w:rsidRPr="00701109" w:rsidRDefault="007B5B30" w:rsidP="0011486D">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tc>
      </w:tr>
      <w:tr w:rsidR="007B5B30" w:rsidRPr="00701109" w:rsidTr="009D7181">
        <w:trPr>
          <w:trHeight w:val="567"/>
        </w:trPr>
        <w:tc>
          <w:tcPr>
            <w:tcW w:w="825" w:type="dxa"/>
          </w:tcPr>
          <w:p w:rsidR="007B4FD3" w:rsidRPr="00701109" w:rsidRDefault="007B4FD3" w:rsidP="007B5B30">
            <w:pPr>
              <w:pStyle w:val="Tflutexti"/>
              <w:spacing w:before="240" w:line="240" w:lineRule="auto"/>
              <w:rPr>
                <w:rFonts w:ascii="Times New Roman" w:hAnsi="Times New Roman" w:cs="Times New Roman"/>
                <w:sz w:val="18"/>
                <w:szCs w:val="18"/>
              </w:rPr>
            </w:pPr>
          </w:p>
        </w:tc>
        <w:tc>
          <w:tcPr>
            <w:tcW w:w="1414" w:type="dxa"/>
          </w:tcPr>
          <w:p w:rsidR="007B4FD3" w:rsidRPr="00701109" w:rsidRDefault="00737D2D" w:rsidP="00070B9E">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1.</w:t>
            </w:r>
            <w:r w:rsidR="00C555A0" w:rsidRPr="00701109">
              <w:rPr>
                <w:rFonts w:ascii="Times New Roman" w:hAnsi="Times New Roman" w:cs="Times New Roman"/>
                <w:sz w:val="18"/>
                <w:szCs w:val="18"/>
              </w:rPr>
              <w:t>3</w:t>
            </w:r>
            <w:r w:rsidRPr="00701109">
              <w:rPr>
                <w:rFonts w:ascii="Times New Roman" w:hAnsi="Times New Roman" w:cs="Times New Roman"/>
                <w:sz w:val="18"/>
                <w:szCs w:val="18"/>
              </w:rPr>
              <w:t>.</w:t>
            </w:r>
          </w:p>
        </w:tc>
        <w:tc>
          <w:tcPr>
            <w:tcW w:w="6155" w:type="dxa"/>
          </w:tcPr>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Hafi verðbréfalýsing að geyma yfirlýsingu eða greinargerð frá sérfræðingi skal veita eftir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farandi upplýsingar um þann aðila:</w:t>
            </w:r>
          </w:p>
          <w:p w:rsidR="00C555A0" w:rsidRPr="00701109" w:rsidRDefault="00C555A0" w:rsidP="00C555A0">
            <w:pPr>
              <w:pStyle w:val="Tflutexti"/>
              <w:spacing w:after="0"/>
              <w:ind w:left="442" w:hanging="425"/>
              <w:rPr>
                <w:rFonts w:ascii="Times New Roman" w:hAnsi="Times New Roman" w:cs="Times New Roman"/>
                <w:sz w:val="18"/>
                <w:szCs w:val="18"/>
              </w:rPr>
            </w:pPr>
            <w:r w:rsidRPr="00701109">
              <w:rPr>
                <w:rFonts w:ascii="Times New Roman" w:hAnsi="Times New Roman" w:cs="Times New Roman"/>
                <w:sz w:val="18"/>
                <w:szCs w:val="18"/>
              </w:rPr>
              <w:t>a)</w:t>
            </w:r>
            <w:r w:rsidRPr="00701109">
              <w:rPr>
                <w:rFonts w:ascii="Times New Roman" w:hAnsi="Times New Roman" w:cs="Times New Roman"/>
                <w:sz w:val="18"/>
                <w:szCs w:val="18"/>
              </w:rPr>
              <w:tab/>
              <w:t>nafn,</w:t>
            </w:r>
          </w:p>
          <w:p w:rsidR="00C555A0" w:rsidRPr="00701109" w:rsidRDefault="00C555A0" w:rsidP="00C555A0">
            <w:pPr>
              <w:pStyle w:val="Tflutexti"/>
              <w:spacing w:before="0" w:after="0"/>
              <w:ind w:left="442" w:hanging="425"/>
              <w:rPr>
                <w:rFonts w:ascii="Times New Roman" w:hAnsi="Times New Roman" w:cs="Times New Roman"/>
                <w:sz w:val="18"/>
                <w:szCs w:val="18"/>
              </w:rPr>
            </w:pPr>
            <w:r w:rsidRPr="00701109">
              <w:rPr>
                <w:rFonts w:ascii="Times New Roman" w:hAnsi="Times New Roman" w:cs="Times New Roman"/>
                <w:sz w:val="18"/>
                <w:szCs w:val="18"/>
              </w:rPr>
              <w:t>b)</w:t>
            </w:r>
            <w:r w:rsidRPr="00701109">
              <w:rPr>
                <w:rFonts w:ascii="Times New Roman" w:hAnsi="Times New Roman" w:cs="Times New Roman"/>
                <w:sz w:val="18"/>
                <w:szCs w:val="18"/>
              </w:rPr>
              <w:tab/>
              <w:t>heimilisfang starfsstöðvar,</w:t>
            </w:r>
          </w:p>
          <w:p w:rsidR="00C555A0" w:rsidRPr="00701109" w:rsidRDefault="00C555A0" w:rsidP="00C555A0">
            <w:pPr>
              <w:pStyle w:val="Tflutexti"/>
              <w:spacing w:before="0" w:after="0"/>
              <w:ind w:left="442" w:hanging="425"/>
              <w:rPr>
                <w:rFonts w:ascii="Times New Roman" w:hAnsi="Times New Roman" w:cs="Times New Roman"/>
                <w:sz w:val="18"/>
                <w:szCs w:val="18"/>
              </w:rPr>
            </w:pPr>
            <w:r w:rsidRPr="00701109">
              <w:rPr>
                <w:rFonts w:ascii="Times New Roman" w:hAnsi="Times New Roman" w:cs="Times New Roman"/>
                <w:sz w:val="18"/>
                <w:szCs w:val="18"/>
              </w:rPr>
              <w:t>c)</w:t>
            </w:r>
            <w:r w:rsidRPr="00701109">
              <w:rPr>
                <w:rFonts w:ascii="Times New Roman" w:hAnsi="Times New Roman" w:cs="Times New Roman"/>
                <w:sz w:val="18"/>
                <w:szCs w:val="18"/>
              </w:rPr>
              <w:tab/>
              <w:t>menntun og hæfi,</w:t>
            </w:r>
          </w:p>
          <w:p w:rsidR="00C555A0" w:rsidRPr="00701109" w:rsidRDefault="00C555A0" w:rsidP="00C555A0">
            <w:pPr>
              <w:pStyle w:val="Tflutexti"/>
              <w:spacing w:before="0"/>
              <w:ind w:left="442" w:hanging="425"/>
              <w:rPr>
                <w:rFonts w:ascii="Times New Roman" w:hAnsi="Times New Roman" w:cs="Times New Roman"/>
                <w:sz w:val="18"/>
                <w:szCs w:val="18"/>
              </w:rPr>
            </w:pPr>
            <w:r w:rsidRPr="00701109">
              <w:rPr>
                <w:rFonts w:ascii="Times New Roman" w:hAnsi="Times New Roman" w:cs="Times New Roman"/>
                <w:sz w:val="18"/>
                <w:szCs w:val="18"/>
              </w:rPr>
              <w:t>d)</w:t>
            </w:r>
            <w:r w:rsidRPr="00701109">
              <w:rPr>
                <w:rFonts w:ascii="Times New Roman" w:hAnsi="Times New Roman" w:cs="Times New Roman"/>
                <w:sz w:val="18"/>
                <w:szCs w:val="18"/>
              </w:rPr>
              <w:tab/>
              <w:t>verulegir hagsmunir sem hann á að gæta í útgefanda, ef einhverjir eru.</w:t>
            </w:r>
          </w:p>
          <w:p w:rsidR="007B4FD3" w:rsidRPr="00701109" w:rsidRDefault="002F4DE5" w:rsidP="00C555A0">
            <w:pPr>
              <w:pStyle w:val="Tflutexti"/>
              <w:rPr>
                <w:rFonts w:ascii="Times New Roman" w:hAnsi="Times New Roman" w:cs="Times New Roman"/>
                <w:sz w:val="18"/>
                <w:szCs w:val="18"/>
              </w:rPr>
            </w:pPr>
            <w:r w:rsidRPr="00701109">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c>
          <w:tcPr>
            <w:tcW w:w="966" w:type="dxa"/>
            <w:gridSpan w:val="2"/>
          </w:tcPr>
          <w:p w:rsidR="007B4FD3" w:rsidRPr="00701109" w:rsidRDefault="00737D2D"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 xml:space="preserve">Flokkur </w:t>
            </w:r>
            <w:r w:rsidR="00C555A0" w:rsidRPr="00701109">
              <w:rPr>
                <w:rFonts w:ascii="Times New Roman" w:hAnsi="Times New Roman" w:cs="Times New Roman"/>
                <w:sz w:val="18"/>
                <w:szCs w:val="18"/>
              </w:rPr>
              <w:t>A</w:t>
            </w:r>
          </w:p>
        </w:tc>
      </w:tr>
      <w:tr w:rsidR="002E73A5" w:rsidRPr="00701109" w:rsidTr="009D7181">
        <w:trPr>
          <w:trHeight w:val="567"/>
        </w:trPr>
        <w:tc>
          <w:tcPr>
            <w:tcW w:w="825" w:type="dxa"/>
          </w:tcPr>
          <w:p w:rsidR="002E73A5" w:rsidRPr="00701109" w:rsidRDefault="002E73A5" w:rsidP="007B5B30">
            <w:pPr>
              <w:pStyle w:val="Tflutexti"/>
              <w:spacing w:before="240" w:line="240" w:lineRule="auto"/>
              <w:rPr>
                <w:rFonts w:ascii="Times New Roman" w:hAnsi="Times New Roman" w:cs="Times New Roman"/>
                <w:sz w:val="18"/>
                <w:szCs w:val="18"/>
              </w:rPr>
            </w:pPr>
          </w:p>
        </w:tc>
        <w:tc>
          <w:tcPr>
            <w:tcW w:w="1414" w:type="dxa"/>
          </w:tcPr>
          <w:p w:rsidR="002E73A5" w:rsidRPr="00701109" w:rsidRDefault="002E73A5"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1.</w:t>
            </w:r>
            <w:r w:rsidR="00C555A0" w:rsidRPr="00701109">
              <w:rPr>
                <w:rFonts w:ascii="Times New Roman" w:hAnsi="Times New Roman" w:cs="Times New Roman"/>
                <w:sz w:val="18"/>
                <w:szCs w:val="18"/>
              </w:rPr>
              <w:t>4</w:t>
            </w:r>
            <w:r w:rsidRPr="00701109">
              <w:rPr>
                <w:rFonts w:ascii="Times New Roman" w:hAnsi="Times New Roman" w:cs="Times New Roman"/>
                <w:sz w:val="18"/>
                <w:szCs w:val="18"/>
              </w:rPr>
              <w:t>.</w:t>
            </w:r>
          </w:p>
        </w:tc>
        <w:tc>
          <w:tcPr>
            <w:tcW w:w="6155" w:type="dxa"/>
          </w:tcPr>
          <w:p w:rsidR="002E73A5" w:rsidRPr="00701109" w:rsidRDefault="002F4DE5" w:rsidP="00C555A0">
            <w:pPr>
              <w:pStyle w:val="Tflutexti"/>
              <w:rPr>
                <w:rFonts w:ascii="Times New Roman" w:hAnsi="Times New Roman" w:cs="Times New Roman"/>
                <w:sz w:val="18"/>
                <w:szCs w:val="18"/>
              </w:rPr>
            </w:pPr>
            <w:r w:rsidRPr="00701109">
              <w:rPr>
                <w:rFonts w:ascii="Times New Roman" w:hAnsi="Times New Roman" w:cs="Times New Roman"/>
                <w:sz w:val="18"/>
                <w:szCs w:val="18"/>
              </w:rPr>
              <w:t>Séu upplýsingar fengnar frá þriðja aðila skal útgefandi staðfesta að þær hafi verið endur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c>
          <w:tcPr>
            <w:tcW w:w="966" w:type="dxa"/>
            <w:gridSpan w:val="2"/>
          </w:tcPr>
          <w:p w:rsidR="002E73A5" w:rsidRPr="00701109" w:rsidRDefault="002E73A5"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 xml:space="preserve">Flokkur </w:t>
            </w:r>
            <w:r w:rsidR="00C555A0" w:rsidRPr="00701109">
              <w:rPr>
                <w:rFonts w:ascii="Times New Roman" w:hAnsi="Times New Roman" w:cs="Times New Roman"/>
                <w:sz w:val="18"/>
                <w:szCs w:val="18"/>
              </w:rPr>
              <w:t>C</w:t>
            </w:r>
          </w:p>
        </w:tc>
      </w:tr>
      <w:tr w:rsidR="00C555A0" w:rsidRPr="00701109" w:rsidTr="009D7181">
        <w:trPr>
          <w:trHeight w:val="567"/>
        </w:trPr>
        <w:tc>
          <w:tcPr>
            <w:tcW w:w="825" w:type="dxa"/>
          </w:tcPr>
          <w:p w:rsidR="00C555A0" w:rsidRPr="00701109" w:rsidRDefault="00C555A0" w:rsidP="00C555A0">
            <w:pPr>
              <w:pStyle w:val="Tflutexti"/>
              <w:spacing w:before="240" w:line="240" w:lineRule="auto"/>
              <w:rPr>
                <w:rFonts w:ascii="Times New Roman" w:hAnsi="Times New Roman" w:cs="Times New Roman"/>
                <w:sz w:val="18"/>
                <w:szCs w:val="18"/>
              </w:rPr>
            </w:pPr>
            <w:r w:rsidRPr="00701109">
              <w:rPr>
                <w:rFonts w:ascii="Times New Roman" w:hAnsi="Times New Roman" w:cs="Times New Roman"/>
                <w:sz w:val="18"/>
                <w:szCs w:val="18"/>
              </w:rPr>
              <w:br w:type="page"/>
            </w:r>
          </w:p>
        </w:tc>
        <w:tc>
          <w:tcPr>
            <w:tcW w:w="1414" w:type="dxa"/>
          </w:tcPr>
          <w:p w:rsidR="00C555A0" w:rsidRPr="00701109" w:rsidRDefault="00C555A0"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1.5.</w:t>
            </w:r>
          </w:p>
        </w:tc>
        <w:tc>
          <w:tcPr>
            <w:tcW w:w="6181" w:type="dxa"/>
            <w:gridSpan w:val="2"/>
          </w:tcPr>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2F4DE5" w:rsidRPr="00701109" w:rsidRDefault="002F4DE5" w:rsidP="002F4DE5">
            <w:pPr>
              <w:pStyle w:val="Tflutexti"/>
              <w:spacing w:after="0"/>
              <w:ind w:left="442" w:hanging="442"/>
              <w:rPr>
                <w:rFonts w:ascii="Times New Roman" w:hAnsi="Times New Roman" w:cs="Times New Roman"/>
                <w:sz w:val="18"/>
                <w:szCs w:val="18"/>
              </w:rPr>
            </w:pPr>
            <w:r w:rsidRPr="00701109">
              <w:rPr>
                <w:rFonts w:ascii="Times New Roman" w:hAnsi="Times New Roman" w:cs="Times New Roman"/>
                <w:sz w:val="18"/>
                <w:szCs w:val="18"/>
              </w:rPr>
              <w:t>a)</w:t>
            </w:r>
            <w:r w:rsidRPr="00701109">
              <w:rPr>
                <w:rFonts w:ascii="Times New Roman" w:hAnsi="Times New Roman" w:cs="Times New Roman"/>
                <w:sz w:val="18"/>
                <w:szCs w:val="18"/>
              </w:rPr>
              <w:tab/>
              <w:t>[verðbréfalýsingin/lýsingin] hafi verið staðfest af [heiti lögbærs yfirvalds] sem lögbæru yfirvaldi samkvæmt reglugerð (ESB) 2017/1129,</w:t>
            </w:r>
          </w:p>
          <w:p w:rsidR="002F4DE5" w:rsidRPr="00701109" w:rsidRDefault="002F4DE5" w:rsidP="002F4DE5">
            <w:pPr>
              <w:pStyle w:val="Tflutexti"/>
              <w:spacing w:before="0" w:after="0"/>
              <w:ind w:left="442" w:hanging="442"/>
              <w:rPr>
                <w:rFonts w:ascii="Times New Roman" w:hAnsi="Times New Roman" w:cs="Times New Roman"/>
                <w:sz w:val="18"/>
                <w:szCs w:val="18"/>
              </w:rPr>
            </w:pPr>
            <w:r w:rsidRPr="00701109">
              <w:rPr>
                <w:rFonts w:ascii="Times New Roman" w:hAnsi="Times New Roman" w:cs="Times New Roman"/>
                <w:sz w:val="18"/>
                <w:szCs w:val="18"/>
              </w:rPr>
              <w:t>b)</w:t>
            </w:r>
            <w:r w:rsidRPr="00701109">
              <w:rPr>
                <w:rFonts w:ascii="Times New Roman" w:hAnsi="Times New Roman" w:cs="Times New Roman"/>
                <w:sz w:val="18"/>
                <w:szCs w:val="18"/>
              </w:rPr>
              <w:tab/>
              <w:t>[heiti lögbærs yfirvalds] staðfesti aðeins þessa [verðbréfalýsingu/lýsingu] í þeim skilningi að hún uppfylli þær kröfur um að vera fullnægjandi, skiljanleg og sam</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kvæm sem kveðið er á um í reglugerð (ESB) 2017/1129,</w:t>
            </w:r>
          </w:p>
          <w:p w:rsidR="002F4DE5" w:rsidRPr="00701109" w:rsidRDefault="002F4DE5" w:rsidP="002F4DE5">
            <w:pPr>
              <w:pStyle w:val="Tflutexti"/>
              <w:spacing w:before="0" w:after="0"/>
              <w:ind w:left="442" w:hanging="442"/>
              <w:rPr>
                <w:rFonts w:ascii="Times New Roman" w:hAnsi="Times New Roman" w:cs="Times New Roman"/>
                <w:sz w:val="18"/>
                <w:szCs w:val="18"/>
              </w:rPr>
            </w:pPr>
            <w:r w:rsidRPr="00701109">
              <w:rPr>
                <w:rFonts w:ascii="Times New Roman" w:hAnsi="Times New Roman" w:cs="Times New Roman"/>
                <w:sz w:val="18"/>
                <w:szCs w:val="18"/>
              </w:rPr>
              <w:lastRenderedPageBreak/>
              <w:t>c)</w:t>
            </w:r>
            <w:r w:rsidRPr="00701109">
              <w:rPr>
                <w:rFonts w:ascii="Times New Roman" w:hAnsi="Times New Roman" w:cs="Times New Roman"/>
                <w:sz w:val="18"/>
                <w:szCs w:val="18"/>
              </w:rPr>
              <w:tab/>
              <w:t>ekki beri að líta á slíka staðfestingu sem staðfestingu á gæðum verðbréfanna sem viðkomandi [verðbréfalýsing/lýsing] varðar,</w:t>
            </w:r>
          </w:p>
          <w:p w:rsidR="002F4DE5" w:rsidRPr="00701109" w:rsidRDefault="002F4DE5" w:rsidP="002F4DE5">
            <w:pPr>
              <w:pStyle w:val="Tflutexti"/>
              <w:spacing w:before="0" w:after="0"/>
              <w:ind w:left="442" w:hanging="442"/>
              <w:rPr>
                <w:rFonts w:ascii="Times New Roman" w:hAnsi="Times New Roman" w:cs="Times New Roman"/>
                <w:sz w:val="18"/>
                <w:szCs w:val="18"/>
              </w:rPr>
            </w:pPr>
            <w:r w:rsidRPr="00701109">
              <w:rPr>
                <w:rFonts w:ascii="Times New Roman" w:hAnsi="Times New Roman" w:cs="Times New Roman"/>
                <w:sz w:val="18"/>
                <w:szCs w:val="18"/>
              </w:rPr>
              <w:t>d)</w:t>
            </w:r>
            <w:r w:rsidRPr="00701109">
              <w:rPr>
                <w:rFonts w:ascii="Times New Roman" w:hAnsi="Times New Roman" w:cs="Times New Roman"/>
                <w:sz w:val="18"/>
                <w:szCs w:val="18"/>
              </w:rPr>
              <w:tab/>
              <w:t>fjárfestar skuli meta sjálfir hvort þeim henti að fjárfesta í verðbréfunum, og</w:t>
            </w:r>
          </w:p>
          <w:p w:rsidR="00C555A0" w:rsidRPr="00701109" w:rsidRDefault="002F4DE5" w:rsidP="002F4DE5">
            <w:pPr>
              <w:pStyle w:val="Tflutexti"/>
              <w:spacing w:before="0"/>
              <w:ind w:left="442" w:hanging="442"/>
              <w:rPr>
                <w:rFonts w:ascii="Times New Roman" w:hAnsi="Times New Roman" w:cs="Times New Roman"/>
                <w:sz w:val="18"/>
                <w:szCs w:val="18"/>
              </w:rPr>
            </w:pPr>
            <w:r w:rsidRPr="00701109">
              <w:rPr>
                <w:rFonts w:ascii="Times New Roman" w:hAnsi="Times New Roman" w:cs="Times New Roman"/>
                <w:sz w:val="18"/>
                <w:szCs w:val="18"/>
              </w:rPr>
              <w:t>e)</w:t>
            </w:r>
            <w:r w:rsidRPr="00701109">
              <w:rPr>
                <w:rFonts w:ascii="Times New Roman" w:hAnsi="Times New Roman" w:cs="Times New Roman"/>
                <w:sz w:val="18"/>
                <w:szCs w:val="18"/>
              </w:rPr>
              <w:tab/>
              <w:t>[verðbréfalýsing] hafi verið samin sem hluti af einfaldaðri lýsingu í samræmi við 14. gr. reglugerðar (ESB) 2017/1129.</w:t>
            </w:r>
          </w:p>
        </w:tc>
        <w:tc>
          <w:tcPr>
            <w:tcW w:w="940" w:type="dxa"/>
            <w:tcBorders>
              <w:bottom w:val="single" w:sz="4" w:space="0" w:color="auto"/>
            </w:tcBorders>
          </w:tcPr>
          <w:p w:rsidR="00C555A0" w:rsidRPr="00701109" w:rsidRDefault="00C555A0"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lastRenderedPageBreak/>
              <w:t>Flokkur A</w:t>
            </w:r>
          </w:p>
        </w:tc>
      </w:tr>
      <w:tr w:rsidR="00C555A0" w:rsidRPr="00701109" w:rsidTr="009D7181">
        <w:trPr>
          <w:trHeight w:val="567"/>
        </w:trPr>
        <w:tc>
          <w:tcPr>
            <w:tcW w:w="825" w:type="dxa"/>
          </w:tcPr>
          <w:p w:rsidR="00C555A0" w:rsidRPr="00701109" w:rsidRDefault="00C555A0" w:rsidP="00C555A0">
            <w:pPr>
              <w:pStyle w:val="Tflutexti"/>
              <w:spacing w:before="240" w:line="240" w:lineRule="auto"/>
              <w:rPr>
                <w:rFonts w:ascii="Times New Roman" w:hAnsi="Times New Roman" w:cs="Times New Roman"/>
                <w:sz w:val="18"/>
                <w:szCs w:val="18"/>
              </w:rPr>
            </w:pPr>
          </w:p>
        </w:tc>
        <w:tc>
          <w:tcPr>
            <w:tcW w:w="1414" w:type="dxa"/>
          </w:tcPr>
          <w:p w:rsidR="00C555A0" w:rsidRPr="00701109" w:rsidRDefault="00E1322B" w:rsidP="00C555A0">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2. ÞÁTTUR</w:t>
            </w:r>
          </w:p>
        </w:tc>
        <w:tc>
          <w:tcPr>
            <w:tcW w:w="6181" w:type="dxa"/>
            <w:gridSpan w:val="2"/>
            <w:tcBorders>
              <w:right w:val="nil"/>
            </w:tcBorders>
          </w:tcPr>
          <w:p w:rsidR="00C555A0" w:rsidRPr="00701109" w:rsidRDefault="00E1322B" w:rsidP="00C555A0">
            <w:pPr>
              <w:pStyle w:val="Tflutexti"/>
              <w:rPr>
                <w:rFonts w:ascii="Times New Roman" w:hAnsi="Times New Roman" w:cs="Times New Roman"/>
                <w:sz w:val="18"/>
                <w:szCs w:val="18"/>
              </w:rPr>
            </w:pPr>
            <w:r w:rsidRPr="00701109">
              <w:rPr>
                <w:rFonts w:ascii="Times New Roman" w:hAnsi="Times New Roman" w:cs="Times New Roman"/>
                <w:sz w:val="18"/>
                <w:szCs w:val="18"/>
              </w:rPr>
              <w:t>ÁHÆTTUÞÆTTIR</w:t>
            </w:r>
          </w:p>
        </w:tc>
        <w:tc>
          <w:tcPr>
            <w:tcW w:w="940" w:type="dxa"/>
            <w:tcBorders>
              <w:left w:val="nil"/>
            </w:tcBorders>
          </w:tcPr>
          <w:p w:rsidR="00C555A0" w:rsidRPr="00701109" w:rsidRDefault="00C555A0" w:rsidP="00C555A0">
            <w:pPr>
              <w:pStyle w:val="Tflutexti"/>
              <w:spacing w:line="240" w:lineRule="auto"/>
              <w:rPr>
                <w:rFonts w:ascii="Times New Roman" w:hAnsi="Times New Roman" w:cs="Times New Roman"/>
                <w:sz w:val="18"/>
                <w:szCs w:val="18"/>
              </w:rPr>
            </w:pPr>
          </w:p>
        </w:tc>
      </w:tr>
      <w:tr w:rsidR="00E1322B" w:rsidRPr="00701109" w:rsidTr="009D7181">
        <w:trPr>
          <w:trHeight w:val="567"/>
        </w:trPr>
        <w:tc>
          <w:tcPr>
            <w:tcW w:w="825" w:type="dxa"/>
          </w:tcPr>
          <w:p w:rsidR="00E1322B" w:rsidRPr="00701109" w:rsidRDefault="00E1322B" w:rsidP="00E1322B">
            <w:pPr>
              <w:pStyle w:val="Tflutexti"/>
              <w:spacing w:before="240" w:line="240" w:lineRule="auto"/>
              <w:rPr>
                <w:rFonts w:ascii="Times New Roman" w:hAnsi="Times New Roman" w:cs="Times New Roman"/>
                <w:sz w:val="18"/>
                <w:szCs w:val="18"/>
              </w:rPr>
            </w:pPr>
          </w:p>
        </w:tc>
        <w:tc>
          <w:tcPr>
            <w:tcW w:w="1414" w:type="dxa"/>
          </w:tcPr>
          <w:p w:rsidR="00E1322B" w:rsidRPr="00701109" w:rsidRDefault="00E1322B"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2.1.</w:t>
            </w:r>
          </w:p>
        </w:tc>
        <w:tc>
          <w:tcPr>
            <w:tcW w:w="6181" w:type="dxa"/>
            <w:gridSpan w:val="2"/>
          </w:tcPr>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Meðal áhættuþátta sem skal veita upplýsingar um eru:</w:t>
            </w:r>
          </w:p>
          <w:p w:rsidR="002F4DE5" w:rsidRPr="00701109" w:rsidRDefault="002F4DE5" w:rsidP="002F4DE5">
            <w:pPr>
              <w:pStyle w:val="Tflutexti"/>
              <w:spacing w:after="0"/>
              <w:ind w:left="442" w:hanging="425"/>
              <w:rPr>
                <w:rFonts w:ascii="Times New Roman" w:hAnsi="Times New Roman" w:cs="Times New Roman"/>
                <w:sz w:val="18"/>
                <w:szCs w:val="18"/>
              </w:rPr>
            </w:pPr>
            <w:r w:rsidRPr="00701109">
              <w:rPr>
                <w:rFonts w:ascii="Times New Roman" w:hAnsi="Times New Roman" w:cs="Times New Roman"/>
                <w:sz w:val="18"/>
                <w:szCs w:val="18"/>
              </w:rPr>
              <w:t>a)</w:t>
            </w:r>
            <w:r w:rsidRPr="00701109">
              <w:rPr>
                <w:rFonts w:ascii="Times New Roman" w:hAnsi="Times New Roman" w:cs="Times New Roman"/>
                <w:sz w:val="18"/>
                <w:szCs w:val="18"/>
              </w:rPr>
              <w:tab/>
              <w:t>þeir sem leiða af rétthæð verðbréfs sem víkjandi kröfu og áhrif af væntanlegri stærð eða tímasetningu greiðslna til eigenda verðbréfanna ef til gjaldþrots eða annarrar sambærilegrar meðferðar kæmi, þ.m.t., ef við á, ógjaldfærni lána</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stofnunar eða skilameðferðar eða endurskipulagningar í samræmi við tilskipun 2014/59/ESB,</w:t>
            </w:r>
          </w:p>
          <w:p w:rsidR="002F4DE5" w:rsidRPr="00701109" w:rsidRDefault="002F4DE5" w:rsidP="002F4DE5">
            <w:pPr>
              <w:pStyle w:val="Tflutexti"/>
              <w:spacing w:before="0"/>
              <w:ind w:left="442" w:hanging="425"/>
              <w:rPr>
                <w:rFonts w:ascii="Times New Roman" w:hAnsi="Times New Roman" w:cs="Times New Roman"/>
                <w:sz w:val="18"/>
                <w:szCs w:val="18"/>
              </w:rPr>
            </w:pPr>
            <w:r w:rsidRPr="00701109">
              <w:rPr>
                <w:rFonts w:ascii="Times New Roman" w:hAnsi="Times New Roman" w:cs="Times New Roman"/>
                <w:sz w:val="18"/>
                <w:szCs w:val="18"/>
              </w:rPr>
              <w:t>b)</w:t>
            </w:r>
            <w:r w:rsidRPr="00701109">
              <w:rPr>
                <w:rFonts w:ascii="Times New Roman" w:hAnsi="Times New Roman" w:cs="Times New Roman"/>
                <w:sz w:val="18"/>
                <w:szCs w:val="18"/>
              </w:rPr>
              <w:tab/>
              <w:t>í tilvikum þar sem verðbréfin eru tryggð með ábyrgð, verulegir áhættuþættir sem eiga sérstaklega við um ábyrgðarveitandann að því marki sem þeir skipta máli fyrir getu hans til að standa við skuldbindingar sínar samkvæmt ábyrgðinni.</w:t>
            </w:r>
          </w:p>
          <w:p w:rsidR="00E1322B"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verðbréfin og líkanna á að þeir raungerist. Áhættuþættirnir skulu staðfestir með efni verðbréfalýsingarinnar.</w:t>
            </w:r>
          </w:p>
        </w:tc>
        <w:tc>
          <w:tcPr>
            <w:tcW w:w="940" w:type="dxa"/>
            <w:tcBorders>
              <w:bottom w:val="single" w:sz="4" w:space="0" w:color="auto"/>
            </w:tcBorders>
          </w:tcPr>
          <w:p w:rsidR="00E1322B" w:rsidRPr="00701109" w:rsidRDefault="007E3186"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tc>
      </w:tr>
      <w:tr w:rsidR="00E1322B" w:rsidRPr="00701109" w:rsidTr="009D7181">
        <w:trPr>
          <w:trHeight w:val="567"/>
        </w:trPr>
        <w:tc>
          <w:tcPr>
            <w:tcW w:w="825" w:type="dxa"/>
          </w:tcPr>
          <w:p w:rsidR="00E1322B" w:rsidRPr="00701109" w:rsidRDefault="00E1322B" w:rsidP="00E1322B">
            <w:pPr>
              <w:pStyle w:val="Tflutexti"/>
              <w:spacing w:before="240" w:line="240" w:lineRule="auto"/>
              <w:rPr>
                <w:rFonts w:ascii="Times New Roman" w:hAnsi="Times New Roman" w:cs="Times New Roman"/>
                <w:sz w:val="18"/>
                <w:szCs w:val="18"/>
              </w:rPr>
            </w:pPr>
          </w:p>
        </w:tc>
        <w:tc>
          <w:tcPr>
            <w:tcW w:w="1414" w:type="dxa"/>
          </w:tcPr>
          <w:p w:rsidR="00E1322B" w:rsidRPr="00701109" w:rsidRDefault="00274D4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3. ÞÁTTUR</w:t>
            </w:r>
          </w:p>
        </w:tc>
        <w:tc>
          <w:tcPr>
            <w:tcW w:w="6181" w:type="dxa"/>
            <w:gridSpan w:val="2"/>
            <w:tcBorders>
              <w:right w:val="nil"/>
            </w:tcBorders>
          </w:tcPr>
          <w:p w:rsidR="00E1322B" w:rsidRPr="00701109" w:rsidRDefault="00274D4A" w:rsidP="00274D4A">
            <w:pPr>
              <w:pStyle w:val="Tflutexti"/>
              <w:rPr>
                <w:rFonts w:ascii="Times New Roman" w:hAnsi="Times New Roman" w:cs="Times New Roman"/>
                <w:sz w:val="18"/>
                <w:szCs w:val="18"/>
              </w:rPr>
            </w:pPr>
            <w:r w:rsidRPr="00701109">
              <w:rPr>
                <w:rFonts w:ascii="Times New Roman" w:hAnsi="Times New Roman" w:cs="Times New Roman"/>
                <w:sz w:val="18"/>
                <w:szCs w:val="18"/>
              </w:rPr>
              <w:t>HELSTU UPPLÝSINGAR</w:t>
            </w:r>
          </w:p>
        </w:tc>
        <w:tc>
          <w:tcPr>
            <w:tcW w:w="940" w:type="dxa"/>
            <w:tcBorders>
              <w:left w:val="nil"/>
            </w:tcBorders>
          </w:tcPr>
          <w:p w:rsidR="00E1322B" w:rsidRPr="00701109" w:rsidRDefault="00E1322B" w:rsidP="00E1322B">
            <w:pPr>
              <w:pStyle w:val="Tflutexti"/>
              <w:spacing w:line="240" w:lineRule="auto"/>
              <w:rPr>
                <w:rFonts w:ascii="Times New Roman" w:hAnsi="Times New Roman" w:cs="Times New Roman"/>
                <w:sz w:val="18"/>
                <w:szCs w:val="18"/>
              </w:rPr>
            </w:pP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74D4A" w:rsidRPr="00701109" w:rsidRDefault="00274D4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3.1.</w:t>
            </w:r>
          </w:p>
        </w:tc>
        <w:tc>
          <w:tcPr>
            <w:tcW w:w="6181" w:type="dxa"/>
            <w:gridSpan w:val="2"/>
          </w:tcPr>
          <w:p w:rsidR="002F4DE5"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Hagsmunir einstaklinga og lögaðila sem tengjast útgáfunni/útboðinu</w:t>
            </w:r>
          </w:p>
          <w:p w:rsidR="00274D4A"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Lýsing á hvers kyns hagsmunum, þ.m.t. hagsmunaárekstrum sem skipta máli fyrir út</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gáfuna/útboðið, ásamt upplýsingum um hlutaðeigandi aðila og eðli viðkomandi hags</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muna.</w:t>
            </w:r>
          </w:p>
        </w:tc>
        <w:tc>
          <w:tcPr>
            <w:tcW w:w="940" w:type="dxa"/>
          </w:tcPr>
          <w:p w:rsidR="00274D4A" w:rsidRPr="00701109" w:rsidRDefault="00274D4A" w:rsidP="00274D4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74D4A" w:rsidRPr="00701109" w:rsidRDefault="00274D4A" w:rsidP="00E63D76">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Liður 3.2.</w:t>
            </w:r>
          </w:p>
          <w:p w:rsidR="002F4DE5" w:rsidRPr="00701109" w:rsidRDefault="002F4DE5" w:rsidP="002F4DE5">
            <w:pPr>
              <w:pStyle w:val="Tflutexti"/>
              <w:spacing w:before="0" w:line="240" w:lineRule="auto"/>
              <w:jc w:val="left"/>
              <w:rPr>
                <w:rFonts w:ascii="Times New Roman" w:hAnsi="Times New Roman" w:cs="Times New Roman"/>
                <w:sz w:val="18"/>
                <w:szCs w:val="18"/>
              </w:rPr>
            </w:pPr>
            <w:r w:rsidRPr="00701109">
              <w:rPr>
                <w:rFonts w:ascii="Times New Roman" w:hAnsi="Times New Roman" w:cs="Times New Roman"/>
                <w:sz w:val="18"/>
                <w:szCs w:val="18"/>
              </w:rPr>
              <w:t>(Aðeins almennir fjárfestar)</w:t>
            </w:r>
          </w:p>
        </w:tc>
        <w:tc>
          <w:tcPr>
            <w:tcW w:w="6181" w:type="dxa"/>
            <w:gridSpan w:val="2"/>
          </w:tcPr>
          <w:p w:rsidR="00274D4A" w:rsidRPr="00701109" w:rsidRDefault="002F4DE5" w:rsidP="00E1322B">
            <w:pPr>
              <w:pStyle w:val="Tflutexti"/>
              <w:rPr>
                <w:rFonts w:ascii="Times New Roman" w:hAnsi="Times New Roman" w:cs="Times New Roman"/>
                <w:sz w:val="18"/>
                <w:szCs w:val="18"/>
              </w:rPr>
            </w:pPr>
            <w:r w:rsidRPr="00701109">
              <w:rPr>
                <w:rFonts w:ascii="Times New Roman" w:hAnsi="Times New Roman" w:cs="Times New Roman"/>
                <w:sz w:val="18"/>
                <w:szCs w:val="18"/>
              </w:rPr>
              <w:t>Ástæður fyrir almenna útboðinu eða töku verðbréfanna til viðskipta ef þær varða ekki myndun hagnaðar og/eða vörn gegn tilteknum áhættum. Sé um að ræða almennt út</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boð, upplýsingar um áætlaðan heildarkostnað við útgáfuna/útboðið og áætlaða nettó</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fjárhæð ágóða. Sundurliða skal þennan kostnað og ágóða eftir hverri fyrirhugaðri meginráðstöfun og setja fram í forgangsröð slíkra ráðstafana. Sé útgefanda kunnugt um að áætlaður ágóði muni ekki duga til að standa straum af allri fyrirhugaðri ráðstöfun skal tilgreina fjárhæðina sem upp á vantar og hvaðan önnur fjármögnun sem til þarf kemur.</w:t>
            </w:r>
          </w:p>
        </w:tc>
        <w:tc>
          <w:tcPr>
            <w:tcW w:w="940" w:type="dxa"/>
            <w:tcBorders>
              <w:bottom w:val="single" w:sz="4" w:space="0" w:color="auto"/>
            </w:tcBorders>
          </w:tcPr>
          <w:p w:rsidR="00274D4A" w:rsidRPr="00701109" w:rsidRDefault="00274D4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F4DE5" w:rsidRPr="00701109" w:rsidRDefault="002F4DE5" w:rsidP="00E63D76">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 xml:space="preserve">Liður 3.3. </w:t>
            </w:r>
          </w:p>
          <w:p w:rsidR="00274D4A" w:rsidRPr="00701109" w:rsidRDefault="002F4DE5" w:rsidP="00E63D76">
            <w:pPr>
              <w:pStyle w:val="Tflutexti"/>
              <w:spacing w:before="0" w:line="240" w:lineRule="auto"/>
              <w:rPr>
                <w:rFonts w:ascii="Times New Roman" w:hAnsi="Times New Roman" w:cs="Times New Roman"/>
                <w:sz w:val="18"/>
                <w:szCs w:val="18"/>
              </w:rPr>
            </w:pPr>
            <w:r w:rsidRPr="00701109">
              <w:rPr>
                <w:rFonts w:ascii="Times New Roman" w:hAnsi="Times New Roman" w:cs="Times New Roman"/>
                <w:sz w:val="18"/>
                <w:szCs w:val="18"/>
              </w:rPr>
              <w:t>(Aðeins heildsölu</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fjárfestar)</w:t>
            </w:r>
          </w:p>
        </w:tc>
        <w:tc>
          <w:tcPr>
            <w:tcW w:w="6181" w:type="dxa"/>
            <w:gridSpan w:val="2"/>
          </w:tcPr>
          <w:p w:rsidR="00274D4A" w:rsidRPr="00701109" w:rsidRDefault="002F4DE5" w:rsidP="00E1322B">
            <w:pPr>
              <w:pStyle w:val="Tflutexti"/>
              <w:rPr>
                <w:rFonts w:ascii="Times New Roman" w:hAnsi="Times New Roman" w:cs="Times New Roman"/>
                <w:sz w:val="18"/>
                <w:szCs w:val="18"/>
              </w:rPr>
            </w:pPr>
            <w:r w:rsidRPr="00701109">
              <w:rPr>
                <w:rFonts w:ascii="Times New Roman" w:hAnsi="Times New Roman" w:cs="Times New Roman"/>
                <w:sz w:val="18"/>
                <w:szCs w:val="18"/>
              </w:rPr>
              <w:t>Ástæður útgáfu ef þær varða ekki myndun hagnaðar og/eða vörn gegn tilteknum áhættuþáttum.</w:t>
            </w:r>
          </w:p>
        </w:tc>
        <w:tc>
          <w:tcPr>
            <w:tcW w:w="940" w:type="dxa"/>
            <w:tcBorders>
              <w:bottom w:val="single" w:sz="4" w:space="0" w:color="auto"/>
            </w:tcBorders>
          </w:tcPr>
          <w:p w:rsidR="00274D4A" w:rsidRPr="00701109" w:rsidRDefault="002F4DE5"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74D4A" w:rsidRPr="00701109" w:rsidRDefault="002F4DE5"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4. ÞÁTTUR</w:t>
            </w:r>
          </w:p>
        </w:tc>
        <w:tc>
          <w:tcPr>
            <w:tcW w:w="6181" w:type="dxa"/>
            <w:gridSpan w:val="2"/>
            <w:tcBorders>
              <w:right w:val="nil"/>
            </w:tcBorders>
          </w:tcPr>
          <w:p w:rsidR="00274D4A" w:rsidRPr="00701109" w:rsidRDefault="002F4DE5" w:rsidP="002F4DE5">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VERÐBRÉF SEM Á AÐ BJÓÐA/TAKA TIL VIÐSKIPTA</w:t>
            </w:r>
          </w:p>
        </w:tc>
        <w:tc>
          <w:tcPr>
            <w:tcW w:w="940" w:type="dxa"/>
            <w:tcBorders>
              <w:left w:val="nil"/>
            </w:tcBorders>
          </w:tcPr>
          <w:p w:rsidR="00274D4A" w:rsidRPr="00701109" w:rsidRDefault="00274D4A" w:rsidP="00274D4A">
            <w:pPr>
              <w:pStyle w:val="Tflutexti"/>
              <w:spacing w:before="0" w:line="240" w:lineRule="auto"/>
              <w:rPr>
                <w:rFonts w:ascii="Times New Roman" w:hAnsi="Times New Roman" w:cs="Times New Roman"/>
                <w:sz w:val="18"/>
                <w:szCs w:val="18"/>
              </w:rPr>
            </w:pP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74D4A" w:rsidRPr="00701109" w:rsidRDefault="002F4DE5"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4.1.</w:t>
            </w:r>
          </w:p>
        </w:tc>
        <w:tc>
          <w:tcPr>
            <w:tcW w:w="6181" w:type="dxa"/>
            <w:gridSpan w:val="2"/>
          </w:tcPr>
          <w:p w:rsidR="00274D4A" w:rsidRPr="00701109" w:rsidRDefault="002F4DE5" w:rsidP="002F4DE5">
            <w:pPr>
              <w:pStyle w:val="Tflutexti"/>
              <w:numPr>
                <w:ilvl w:val="0"/>
                <w:numId w:val="20"/>
              </w:numPr>
              <w:spacing w:after="0"/>
              <w:ind w:left="318" w:hanging="318"/>
              <w:rPr>
                <w:rFonts w:ascii="Times New Roman" w:hAnsi="Times New Roman" w:cs="Times New Roman"/>
                <w:sz w:val="18"/>
                <w:szCs w:val="18"/>
              </w:rPr>
            </w:pPr>
            <w:r w:rsidRPr="00701109">
              <w:rPr>
                <w:rFonts w:ascii="Times New Roman" w:hAnsi="Times New Roman" w:cs="Times New Roman"/>
                <w:sz w:val="18"/>
                <w:szCs w:val="18"/>
              </w:rPr>
              <w:t>lýsing á tegund, flokki og magni verðbréfa sem eru boðin út og/eða tekin til við</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skipta,</w:t>
            </w:r>
          </w:p>
          <w:p w:rsidR="002F4DE5" w:rsidRPr="00701109" w:rsidRDefault="002F4DE5" w:rsidP="002F4DE5">
            <w:pPr>
              <w:pStyle w:val="Tflutexti"/>
              <w:numPr>
                <w:ilvl w:val="0"/>
                <w:numId w:val="20"/>
              </w:numPr>
              <w:spacing w:before="0"/>
              <w:ind w:left="318" w:hanging="318"/>
              <w:rPr>
                <w:rFonts w:ascii="Times New Roman" w:hAnsi="Times New Roman" w:cs="Times New Roman"/>
                <w:sz w:val="18"/>
                <w:szCs w:val="18"/>
              </w:rPr>
            </w:pPr>
            <w:r w:rsidRPr="00701109">
              <w:rPr>
                <w:rFonts w:ascii="Times New Roman" w:hAnsi="Times New Roman" w:cs="Times New Roman"/>
                <w:sz w:val="18"/>
                <w:szCs w:val="18"/>
              </w:rPr>
              <w:t>alþjóðlegt auðkennisnúmer (ISIN-númer) verðbréfa sem boðin eru út og/eða tekin til viðskipta.</w:t>
            </w:r>
          </w:p>
        </w:tc>
        <w:tc>
          <w:tcPr>
            <w:tcW w:w="940" w:type="dxa"/>
          </w:tcPr>
          <w:p w:rsidR="002F4DE5" w:rsidRPr="00701109" w:rsidRDefault="002F4DE5" w:rsidP="002F4DE5">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p w:rsidR="002F4DE5" w:rsidRPr="00701109" w:rsidRDefault="002F4DE5" w:rsidP="002F4DE5">
            <w:pPr>
              <w:pStyle w:val="Tflutexti"/>
              <w:spacing w:before="0" w:after="0" w:line="240" w:lineRule="auto"/>
              <w:rPr>
                <w:rFonts w:ascii="Times New Roman" w:hAnsi="Times New Roman" w:cs="Times New Roman"/>
                <w:sz w:val="18"/>
                <w:szCs w:val="18"/>
              </w:rPr>
            </w:pPr>
          </w:p>
          <w:p w:rsidR="002F4DE5" w:rsidRPr="00701109" w:rsidRDefault="002F4DE5" w:rsidP="002F4DE5">
            <w:pPr>
              <w:pStyle w:val="Tflutexti"/>
              <w:spacing w:before="4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74D4A" w:rsidRPr="00701109" w:rsidTr="009D7181">
        <w:trPr>
          <w:trHeight w:val="567"/>
        </w:trPr>
        <w:tc>
          <w:tcPr>
            <w:tcW w:w="825" w:type="dxa"/>
          </w:tcPr>
          <w:p w:rsidR="00274D4A" w:rsidRPr="00701109" w:rsidRDefault="00274D4A" w:rsidP="00E1322B">
            <w:pPr>
              <w:pStyle w:val="Tflutexti"/>
              <w:spacing w:before="240" w:line="240" w:lineRule="auto"/>
              <w:rPr>
                <w:rFonts w:ascii="Times New Roman" w:hAnsi="Times New Roman" w:cs="Times New Roman"/>
                <w:sz w:val="18"/>
                <w:szCs w:val="18"/>
              </w:rPr>
            </w:pPr>
          </w:p>
        </w:tc>
        <w:tc>
          <w:tcPr>
            <w:tcW w:w="1414" w:type="dxa"/>
          </w:tcPr>
          <w:p w:rsidR="00274D4A" w:rsidRPr="00701109" w:rsidRDefault="002F4DE5"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4.2.</w:t>
            </w:r>
          </w:p>
        </w:tc>
        <w:tc>
          <w:tcPr>
            <w:tcW w:w="6181" w:type="dxa"/>
            <w:gridSpan w:val="2"/>
          </w:tcPr>
          <w:p w:rsidR="00274D4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Gjaldmiðill sem verðbréfin eru gefin út í.</w:t>
            </w:r>
          </w:p>
        </w:tc>
        <w:tc>
          <w:tcPr>
            <w:tcW w:w="940" w:type="dxa"/>
          </w:tcPr>
          <w:p w:rsidR="00274D4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Flokkur C</w:t>
            </w:r>
          </w:p>
        </w:tc>
      </w:tr>
      <w:tr w:rsidR="005B6EED" w:rsidRPr="00701109" w:rsidTr="009D7181">
        <w:trPr>
          <w:trHeight w:val="567"/>
        </w:trPr>
        <w:tc>
          <w:tcPr>
            <w:tcW w:w="825" w:type="dxa"/>
          </w:tcPr>
          <w:p w:rsidR="005B6EED" w:rsidRPr="00701109" w:rsidRDefault="005B6EED" w:rsidP="00E1322B">
            <w:pPr>
              <w:pStyle w:val="Tflutexti"/>
              <w:spacing w:before="240" w:line="240" w:lineRule="auto"/>
              <w:rPr>
                <w:rFonts w:ascii="Times New Roman" w:hAnsi="Times New Roman" w:cs="Times New Roman"/>
                <w:sz w:val="18"/>
                <w:szCs w:val="18"/>
              </w:rPr>
            </w:pPr>
          </w:p>
        </w:tc>
        <w:tc>
          <w:tcPr>
            <w:tcW w:w="1414" w:type="dxa"/>
          </w:tcPr>
          <w:p w:rsidR="005B6EED" w:rsidRPr="00701109" w:rsidRDefault="00685FF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4.3.</w:t>
            </w:r>
          </w:p>
        </w:tc>
        <w:tc>
          <w:tcPr>
            <w:tcW w:w="6181" w:type="dxa"/>
            <w:gridSpan w:val="2"/>
          </w:tcPr>
          <w:p w:rsidR="005B6EED" w:rsidRPr="00701109" w:rsidRDefault="00685FFA" w:rsidP="005B6EED">
            <w:pPr>
              <w:pStyle w:val="Tflutexti"/>
              <w:rPr>
                <w:rFonts w:ascii="Times New Roman" w:hAnsi="Times New Roman" w:cs="Times New Roman"/>
                <w:sz w:val="18"/>
                <w:szCs w:val="18"/>
              </w:rPr>
            </w:pPr>
            <w:r w:rsidRPr="00701109">
              <w:rPr>
                <w:rFonts w:ascii="Times New Roman" w:hAnsi="Times New Roman" w:cs="Times New Roman"/>
                <w:sz w:val="18"/>
                <w:szCs w:val="18"/>
              </w:rPr>
              <w:t>Sé um að ræða nýja útgáfu skal fylgja yfirlit um ályktanir, heimildir og samþykki sem liggja því til grundvallar að verðbréf hafa verið eða verða stofnuð og/eða gefin út.</w:t>
            </w:r>
          </w:p>
        </w:tc>
        <w:tc>
          <w:tcPr>
            <w:tcW w:w="940" w:type="dxa"/>
          </w:tcPr>
          <w:p w:rsidR="005B6EED" w:rsidRPr="00701109" w:rsidRDefault="00685FFA" w:rsidP="00274D4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5B6EED" w:rsidRPr="00701109" w:rsidTr="009D7181">
        <w:trPr>
          <w:trHeight w:val="567"/>
        </w:trPr>
        <w:tc>
          <w:tcPr>
            <w:tcW w:w="825" w:type="dxa"/>
          </w:tcPr>
          <w:p w:rsidR="005B6EED" w:rsidRPr="00701109" w:rsidRDefault="005B6EED" w:rsidP="00E1322B">
            <w:pPr>
              <w:pStyle w:val="Tflutexti"/>
              <w:spacing w:before="240" w:line="240" w:lineRule="auto"/>
              <w:rPr>
                <w:rFonts w:ascii="Times New Roman" w:hAnsi="Times New Roman" w:cs="Times New Roman"/>
                <w:sz w:val="18"/>
                <w:szCs w:val="18"/>
              </w:rPr>
            </w:pPr>
          </w:p>
        </w:tc>
        <w:tc>
          <w:tcPr>
            <w:tcW w:w="1414" w:type="dxa"/>
          </w:tcPr>
          <w:p w:rsidR="005B6EED" w:rsidRPr="00701109" w:rsidRDefault="00685FF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4.4.</w:t>
            </w:r>
          </w:p>
        </w:tc>
        <w:tc>
          <w:tcPr>
            <w:tcW w:w="6181" w:type="dxa"/>
            <w:gridSpan w:val="2"/>
          </w:tcPr>
          <w:p w:rsidR="005B6EED" w:rsidRPr="00701109" w:rsidRDefault="00685FFA" w:rsidP="005B6EED">
            <w:pPr>
              <w:pStyle w:val="Tflutexti"/>
              <w:rPr>
                <w:rFonts w:ascii="Times New Roman" w:hAnsi="Times New Roman" w:cs="Times New Roman"/>
                <w:sz w:val="18"/>
                <w:szCs w:val="18"/>
              </w:rPr>
            </w:pPr>
            <w:r w:rsidRPr="00701109">
              <w:rPr>
                <w:rFonts w:ascii="Times New Roman" w:hAnsi="Times New Roman" w:cs="Times New Roman"/>
                <w:sz w:val="18"/>
                <w:szCs w:val="18"/>
              </w:rPr>
              <w:t>Lýsing á hvers kyns takmörkunum á framsali verðbréfanna.</w:t>
            </w:r>
          </w:p>
        </w:tc>
        <w:tc>
          <w:tcPr>
            <w:tcW w:w="940" w:type="dxa"/>
          </w:tcPr>
          <w:p w:rsidR="005B6EED" w:rsidRPr="00701109" w:rsidRDefault="00685FFA" w:rsidP="00274D4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5B6EED" w:rsidRPr="00701109" w:rsidTr="009D7181">
        <w:trPr>
          <w:trHeight w:val="567"/>
        </w:trPr>
        <w:tc>
          <w:tcPr>
            <w:tcW w:w="825" w:type="dxa"/>
          </w:tcPr>
          <w:p w:rsidR="005B6EED" w:rsidRPr="00701109" w:rsidRDefault="005B6EED" w:rsidP="00E1322B">
            <w:pPr>
              <w:pStyle w:val="Tflutexti"/>
              <w:spacing w:before="240" w:line="240" w:lineRule="auto"/>
              <w:rPr>
                <w:rFonts w:ascii="Times New Roman" w:hAnsi="Times New Roman" w:cs="Times New Roman"/>
                <w:sz w:val="18"/>
                <w:szCs w:val="18"/>
              </w:rPr>
            </w:pPr>
          </w:p>
        </w:tc>
        <w:tc>
          <w:tcPr>
            <w:tcW w:w="1414" w:type="dxa"/>
          </w:tcPr>
          <w:p w:rsidR="00685FFA" w:rsidRPr="00701109" w:rsidRDefault="00685FFA" w:rsidP="00E63D76">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 xml:space="preserve">Liður 4.5. </w:t>
            </w:r>
          </w:p>
          <w:p w:rsidR="005B6EED" w:rsidRPr="00701109" w:rsidRDefault="00685FFA" w:rsidP="00E63D76">
            <w:pPr>
              <w:pStyle w:val="Tflutexti"/>
              <w:spacing w:before="0" w:line="240" w:lineRule="auto"/>
              <w:jc w:val="left"/>
              <w:rPr>
                <w:rFonts w:ascii="Times New Roman" w:hAnsi="Times New Roman" w:cs="Times New Roman"/>
                <w:sz w:val="18"/>
                <w:szCs w:val="18"/>
              </w:rPr>
            </w:pPr>
            <w:r w:rsidRPr="00701109">
              <w:rPr>
                <w:rFonts w:ascii="Times New Roman" w:hAnsi="Times New Roman" w:cs="Times New Roman"/>
                <w:sz w:val="18"/>
                <w:szCs w:val="18"/>
              </w:rPr>
              <w:t>(Aðeins almennir fjárfestar)</w:t>
            </w:r>
          </w:p>
        </w:tc>
        <w:tc>
          <w:tcPr>
            <w:tcW w:w="6181" w:type="dxa"/>
            <w:gridSpan w:val="2"/>
          </w:tcPr>
          <w:p w:rsidR="00685FF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Viðvörun um að skattalög aðildarríkis fjárfestisins og skráningarlands útgefanda gætu haft áhrif á tekjur af verðbréfunum.</w:t>
            </w:r>
          </w:p>
          <w:p w:rsidR="005B6EED"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skattlagningu verðbréfanna ef fyrirhuguð fjárfesting fellur undir skatta</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reglur sem eru sértækar fyrir viðkomandi tegund fjárfestinga.</w:t>
            </w:r>
          </w:p>
        </w:tc>
        <w:tc>
          <w:tcPr>
            <w:tcW w:w="940" w:type="dxa"/>
          </w:tcPr>
          <w:p w:rsidR="005B6EED" w:rsidRPr="00701109" w:rsidRDefault="00685FFA" w:rsidP="00274D4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tc>
      </w:tr>
      <w:tr w:rsidR="005B6EED" w:rsidRPr="00701109" w:rsidTr="009D7181">
        <w:trPr>
          <w:trHeight w:val="567"/>
        </w:trPr>
        <w:tc>
          <w:tcPr>
            <w:tcW w:w="825" w:type="dxa"/>
          </w:tcPr>
          <w:p w:rsidR="005B6EED" w:rsidRPr="00701109" w:rsidRDefault="005B6EED" w:rsidP="00E1322B">
            <w:pPr>
              <w:pStyle w:val="Tflutexti"/>
              <w:spacing w:before="240" w:line="240" w:lineRule="auto"/>
              <w:rPr>
                <w:rFonts w:ascii="Times New Roman" w:hAnsi="Times New Roman" w:cs="Times New Roman"/>
                <w:sz w:val="18"/>
                <w:szCs w:val="18"/>
              </w:rPr>
            </w:pPr>
          </w:p>
        </w:tc>
        <w:tc>
          <w:tcPr>
            <w:tcW w:w="1414" w:type="dxa"/>
          </w:tcPr>
          <w:p w:rsidR="005B6EED" w:rsidRPr="00701109" w:rsidRDefault="00685FFA" w:rsidP="00E1322B">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4.6.</w:t>
            </w:r>
          </w:p>
        </w:tc>
        <w:tc>
          <w:tcPr>
            <w:tcW w:w="6181" w:type="dxa"/>
            <w:gridSpan w:val="2"/>
          </w:tcPr>
          <w:p w:rsidR="00955152"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c>
          <w:tcPr>
            <w:tcW w:w="940" w:type="dxa"/>
          </w:tcPr>
          <w:p w:rsidR="00A861F4"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685FFA"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4.7.</w:t>
            </w:r>
          </w:p>
        </w:tc>
        <w:tc>
          <w:tcPr>
            <w:tcW w:w="6181" w:type="dxa"/>
            <w:gridSpan w:val="2"/>
          </w:tcPr>
          <w:p w:rsidR="00685FF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Rétthæð verðbréfanna í fjármagnsskipan útgefanda ef til gjaldþrotaskipta kæmi, þ.m.t., eftir atvikum, upplýsingar um víkjandi stöðu verðbréfanna og möguleg áhrif á fjárfest</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inguna ef til skilameðferðar kæmi samkvæmt tilskipun 2014/59/ESB.</w:t>
            </w:r>
          </w:p>
        </w:tc>
        <w:tc>
          <w:tcPr>
            <w:tcW w:w="940" w:type="dxa"/>
          </w:tcPr>
          <w:p w:rsidR="00685FF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Flokkur A</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685FFA"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4.8.</w:t>
            </w:r>
          </w:p>
        </w:tc>
        <w:tc>
          <w:tcPr>
            <w:tcW w:w="6181" w:type="dxa"/>
            <w:gridSpan w:val="2"/>
          </w:tcPr>
          <w:p w:rsidR="00685FFA" w:rsidRPr="00701109" w:rsidRDefault="00685FFA"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Lýsing á réttindum sem fylgja verðbréfunum, þ.m.t. hvers kyns takmörkunum á þessum réttindum.</w:t>
            </w:r>
          </w:p>
        </w:tc>
        <w:tc>
          <w:tcPr>
            <w:tcW w:w="940" w:type="dxa"/>
          </w:tcPr>
          <w:p w:rsidR="00685FFA" w:rsidRPr="00701109" w:rsidRDefault="00685FFA" w:rsidP="00685FFA">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685FFA"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4.9.</w:t>
            </w:r>
          </w:p>
        </w:tc>
        <w:tc>
          <w:tcPr>
            <w:tcW w:w="6181" w:type="dxa"/>
            <w:gridSpan w:val="2"/>
          </w:tcPr>
          <w:p w:rsidR="00685FFA" w:rsidRPr="00701109" w:rsidRDefault="00685FFA" w:rsidP="00685FFA">
            <w:pPr>
              <w:pStyle w:val="Tflutexti"/>
              <w:numPr>
                <w:ilvl w:val="0"/>
                <w:numId w:val="21"/>
              </w:numPr>
              <w:spacing w:after="0"/>
              <w:ind w:left="459" w:hanging="425"/>
              <w:rPr>
                <w:rFonts w:ascii="Times New Roman" w:hAnsi="Times New Roman" w:cs="Times New Roman"/>
                <w:sz w:val="18"/>
                <w:szCs w:val="18"/>
              </w:rPr>
            </w:pPr>
            <w:r w:rsidRPr="00701109">
              <w:rPr>
                <w:rFonts w:ascii="Times New Roman" w:hAnsi="Times New Roman" w:cs="Times New Roman"/>
                <w:sz w:val="18"/>
                <w:szCs w:val="18"/>
              </w:rPr>
              <w:t>Nafnvextir,</w:t>
            </w:r>
          </w:p>
          <w:p w:rsidR="00685FFA" w:rsidRPr="00701109" w:rsidRDefault="00685FFA" w:rsidP="00685FFA">
            <w:pPr>
              <w:pStyle w:val="Tflutexti"/>
              <w:numPr>
                <w:ilvl w:val="0"/>
                <w:numId w:val="21"/>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ákvæði um vexti til greiðslu,</w:t>
            </w:r>
          </w:p>
          <w:p w:rsidR="00685FFA" w:rsidRPr="00701109" w:rsidRDefault="00685FFA" w:rsidP="00685FFA">
            <w:pPr>
              <w:pStyle w:val="Tflutexti"/>
              <w:numPr>
                <w:ilvl w:val="0"/>
                <w:numId w:val="21"/>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upphafsdagur og gjalddagar vaxta.</w:t>
            </w:r>
          </w:p>
          <w:p w:rsidR="00685FFA" w:rsidRPr="00701109" w:rsidRDefault="00685FFA" w:rsidP="00685FFA">
            <w:pPr>
              <w:pStyle w:val="Tflutexti"/>
              <w:numPr>
                <w:ilvl w:val="0"/>
                <w:numId w:val="21"/>
              </w:numPr>
              <w:spacing w:before="0"/>
              <w:ind w:left="459" w:hanging="425"/>
              <w:rPr>
                <w:rFonts w:ascii="Times New Roman" w:hAnsi="Times New Roman" w:cs="Times New Roman"/>
                <w:sz w:val="18"/>
                <w:szCs w:val="18"/>
              </w:rPr>
            </w:pPr>
            <w:r w:rsidRPr="00701109">
              <w:rPr>
                <w:rFonts w:ascii="Times New Roman" w:hAnsi="Times New Roman" w:cs="Times New Roman"/>
                <w:sz w:val="18"/>
                <w:szCs w:val="18"/>
              </w:rPr>
              <w:t>fyrningarfrestur á vaxtakröfum og kröfum til endurgreiðslu höfuðstóls,</w:t>
            </w:r>
          </w:p>
          <w:p w:rsidR="00685FFA" w:rsidRPr="00701109" w:rsidRDefault="00685FFA" w:rsidP="00685FFA">
            <w:pPr>
              <w:pStyle w:val="Tflutexti"/>
              <w:ind w:left="461" w:hanging="425"/>
              <w:rPr>
                <w:rFonts w:ascii="Times New Roman" w:hAnsi="Times New Roman" w:cs="Times New Roman"/>
                <w:sz w:val="18"/>
                <w:szCs w:val="18"/>
              </w:rPr>
            </w:pPr>
            <w:r w:rsidRPr="00701109">
              <w:rPr>
                <w:rFonts w:ascii="Times New Roman" w:hAnsi="Times New Roman" w:cs="Times New Roman"/>
                <w:sz w:val="18"/>
                <w:szCs w:val="18"/>
              </w:rPr>
              <w:t>Ef vextirnir eru ekki fastir:</w:t>
            </w:r>
          </w:p>
          <w:p w:rsidR="00685FFA" w:rsidRPr="00701109" w:rsidRDefault="00685FFA" w:rsidP="00685FFA">
            <w:pPr>
              <w:pStyle w:val="Tflutexti"/>
              <w:numPr>
                <w:ilvl w:val="0"/>
                <w:numId w:val="22"/>
              </w:numPr>
              <w:spacing w:after="0"/>
              <w:ind w:left="459" w:hanging="425"/>
              <w:rPr>
                <w:rFonts w:ascii="Times New Roman" w:hAnsi="Times New Roman" w:cs="Times New Roman"/>
                <w:sz w:val="18"/>
                <w:szCs w:val="18"/>
              </w:rPr>
            </w:pPr>
            <w:r w:rsidRPr="00701109">
              <w:rPr>
                <w:rFonts w:ascii="Times New Roman" w:hAnsi="Times New Roman" w:cs="Times New Roman"/>
                <w:sz w:val="18"/>
                <w:szCs w:val="18"/>
              </w:rPr>
              <w:t>tilgreining á tegund undirliggjandi þáttar,</w:t>
            </w:r>
          </w:p>
          <w:p w:rsidR="00685FFA" w:rsidRPr="00701109" w:rsidRDefault="00685FFA" w:rsidP="00685FFA">
            <w:pPr>
              <w:pStyle w:val="Tflutexti"/>
              <w:numPr>
                <w:ilvl w:val="0"/>
                <w:numId w:val="22"/>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lýsing á þeim undirliggjandi þætti sem vextirnir byggjast á og aðferðinni sem notuð er til að tengja vextina við undirliggjandi þáttinn,</w:t>
            </w:r>
          </w:p>
          <w:p w:rsidR="00685FFA" w:rsidRPr="00701109" w:rsidRDefault="00685FFA" w:rsidP="00685FFA">
            <w:pPr>
              <w:pStyle w:val="Tflutexti"/>
              <w:numPr>
                <w:ilvl w:val="0"/>
                <w:numId w:val="22"/>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sé um að ræða verðbréf sem ekki eru hlutabréfatengd og eru fyrir almenna fjár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festa skal tilgreina hvar má nálgast upplýsingar um fyrri árangur og framtíðar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árangur undirliggjandi þáttar og flökt hans,</w:t>
            </w:r>
          </w:p>
          <w:p w:rsidR="00685FFA" w:rsidRPr="00701109" w:rsidRDefault="00685FFA" w:rsidP="00685FFA">
            <w:pPr>
              <w:pStyle w:val="Tflutexti"/>
              <w:numPr>
                <w:ilvl w:val="0"/>
                <w:numId w:val="22"/>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lýsing á hvers kyns röskun á markaði eða atburðum sem valda röskun á greiðslu</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uppgjöri sem hafa áhrif á undirliggjandi þætti,</w:t>
            </w:r>
          </w:p>
          <w:p w:rsidR="00685FFA" w:rsidRPr="00701109" w:rsidRDefault="00685FFA" w:rsidP="00685FFA">
            <w:pPr>
              <w:pStyle w:val="Tflutexti"/>
              <w:numPr>
                <w:ilvl w:val="0"/>
                <w:numId w:val="22"/>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leiðréttingarreglur sem tengjast atburðum sem hafa áhrif á undirliggjandi þætti,</w:t>
            </w:r>
          </w:p>
          <w:p w:rsidR="00685FFA" w:rsidRPr="00701109" w:rsidRDefault="00685FFA" w:rsidP="00685FFA">
            <w:pPr>
              <w:pStyle w:val="Tflutexti"/>
              <w:numPr>
                <w:ilvl w:val="0"/>
                <w:numId w:val="22"/>
              </w:numPr>
              <w:spacing w:before="0" w:after="0"/>
              <w:ind w:left="459" w:hanging="425"/>
              <w:rPr>
                <w:rFonts w:ascii="Times New Roman" w:hAnsi="Times New Roman" w:cs="Times New Roman"/>
                <w:sz w:val="18"/>
                <w:szCs w:val="18"/>
              </w:rPr>
            </w:pPr>
            <w:r w:rsidRPr="00701109">
              <w:rPr>
                <w:rFonts w:ascii="Times New Roman" w:hAnsi="Times New Roman" w:cs="Times New Roman"/>
                <w:sz w:val="18"/>
                <w:szCs w:val="18"/>
              </w:rPr>
              <w:t>nafn þess aðila sem sér um útreikning,</w:t>
            </w:r>
          </w:p>
          <w:p w:rsidR="00685FFA" w:rsidRPr="00701109" w:rsidRDefault="00685FFA" w:rsidP="00685FFA">
            <w:pPr>
              <w:pStyle w:val="Tflutexti"/>
              <w:numPr>
                <w:ilvl w:val="0"/>
                <w:numId w:val="22"/>
              </w:numPr>
              <w:spacing w:before="0"/>
              <w:ind w:left="459" w:hanging="425"/>
              <w:rPr>
                <w:rFonts w:ascii="Times New Roman" w:hAnsi="Times New Roman" w:cs="Times New Roman"/>
                <w:sz w:val="18"/>
                <w:szCs w:val="18"/>
              </w:rPr>
            </w:pPr>
            <w:r w:rsidRPr="00701109">
              <w:rPr>
                <w:rFonts w:ascii="Times New Roman" w:hAnsi="Times New Roman" w:cs="Times New Roman"/>
                <w:sz w:val="18"/>
                <w:szCs w:val="18"/>
              </w:rPr>
              <w:t>sé um að ræða verðbréf sem ekki eru hlutabréfatengd og eru fyrir almenna fjár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festa og afleiða er þáttur í vaxtagreiðslum af verðbréfinu skal gefa skýra og ítar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lega skýringu til að hjálpa fjárfestum að skilja hvernig virði undirliggjandi gernings eða gerninga hefur áhrif á virði fjárfestingar þeirra, einkum við aðstæður þar sem áhætta er augljós.</w:t>
            </w:r>
          </w:p>
        </w:tc>
        <w:tc>
          <w:tcPr>
            <w:tcW w:w="940" w:type="dxa"/>
          </w:tcPr>
          <w:p w:rsidR="00685FFA" w:rsidRPr="00701109" w:rsidRDefault="00453E1B" w:rsidP="00453E1B">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53E1B" w:rsidRPr="00701109" w:rsidRDefault="00453E1B" w:rsidP="00453E1B">
            <w:pPr>
              <w:pStyle w:val="Tflutexti"/>
              <w:spacing w:before="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p w:rsidR="00453E1B" w:rsidRPr="00701109" w:rsidRDefault="00453E1B" w:rsidP="00453E1B">
            <w:pPr>
              <w:pStyle w:val="Tflutexti"/>
              <w:spacing w:before="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53E1B" w:rsidRPr="00701109" w:rsidRDefault="00453E1B" w:rsidP="00453E1B">
            <w:pPr>
              <w:pStyle w:val="Tflutexti"/>
              <w:spacing w:before="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p w:rsidR="00453E1B" w:rsidRPr="00701109" w:rsidRDefault="00453E1B" w:rsidP="00453E1B">
            <w:pPr>
              <w:pStyle w:val="Tflutexti"/>
              <w:spacing w:line="240" w:lineRule="auto"/>
              <w:rPr>
                <w:rFonts w:ascii="Times New Roman" w:hAnsi="Times New Roman" w:cs="Times New Roman"/>
                <w:sz w:val="18"/>
                <w:szCs w:val="18"/>
              </w:rPr>
            </w:pPr>
          </w:p>
          <w:p w:rsidR="00453E1B" w:rsidRPr="00701109" w:rsidRDefault="00453E1B" w:rsidP="00453E1B">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p w:rsidR="00453E1B" w:rsidRPr="00701109" w:rsidRDefault="00453E1B" w:rsidP="00453E1B">
            <w:pPr>
              <w:pStyle w:val="Tflutexti"/>
              <w:spacing w:before="0" w:after="4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53E1B" w:rsidRPr="00701109" w:rsidRDefault="00453E1B" w:rsidP="00453E1B">
            <w:pPr>
              <w:pStyle w:val="Tflutexti"/>
              <w:spacing w:before="0" w:after="0" w:line="240" w:lineRule="auto"/>
              <w:rPr>
                <w:rFonts w:ascii="Times New Roman" w:hAnsi="Times New Roman" w:cs="Times New Roman"/>
                <w:sz w:val="18"/>
                <w:szCs w:val="18"/>
              </w:rPr>
            </w:pPr>
          </w:p>
          <w:p w:rsidR="00453E1B" w:rsidRPr="00701109" w:rsidRDefault="00453E1B" w:rsidP="00453E1B">
            <w:pPr>
              <w:pStyle w:val="Tflutexti"/>
              <w:spacing w:before="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53E1B" w:rsidRPr="00701109" w:rsidRDefault="00453E1B" w:rsidP="00453E1B">
            <w:pPr>
              <w:pStyle w:val="Tflutexti"/>
              <w:spacing w:before="0" w:after="0" w:line="240" w:lineRule="auto"/>
              <w:rPr>
                <w:rFonts w:ascii="Times New Roman" w:hAnsi="Times New Roman" w:cs="Times New Roman"/>
                <w:sz w:val="18"/>
                <w:szCs w:val="18"/>
              </w:rPr>
            </w:pPr>
          </w:p>
          <w:p w:rsidR="00453E1B" w:rsidRPr="00701109" w:rsidRDefault="00453E1B" w:rsidP="00453E1B">
            <w:pPr>
              <w:pStyle w:val="Tflutexti"/>
              <w:spacing w:before="0" w:after="0" w:line="240" w:lineRule="auto"/>
              <w:rPr>
                <w:rFonts w:ascii="Times New Roman" w:hAnsi="Times New Roman" w:cs="Times New Roman"/>
                <w:sz w:val="18"/>
                <w:szCs w:val="18"/>
              </w:rPr>
            </w:pPr>
          </w:p>
          <w:p w:rsidR="00453E1B" w:rsidRPr="00701109" w:rsidRDefault="00453E1B" w:rsidP="00453E1B">
            <w:pPr>
              <w:pStyle w:val="Tflutexti"/>
              <w:spacing w:before="4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p w:rsidR="00453E1B" w:rsidRPr="00701109" w:rsidRDefault="00453E1B" w:rsidP="00453E1B">
            <w:pPr>
              <w:pStyle w:val="Tflutexti"/>
              <w:spacing w:before="0" w:after="0" w:line="240" w:lineRule="auto"/>
              <w:rPr>
                <w:rFonts w:ascii="Times New Roman" w:hAnsi="Times New Roman" w:cs="Times New Roman"/>
                <w:sz w:val="18"/>
                <w:szCs w:val="18"/>
              </w:rPr>
            </w:pPr>
          </w:p>
          <w:p w:rsidR="00453E1B" w:rsidRPr="00701109" w:rsidRDefault="00453E1B" w:rsidP="00453E1B">
            <w:pPr>
              <w:pStyle w:val="Tflutexti"/>
              <w:spacing w:before="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p w:rsidR="00453E1B" w:rsidRPr="00701109" w:rsidRDefault="00453E1B" w:rsidP="00453E1B">
            <w:pPr>
              <w:pStyle w:val="Tflutexti"/>
              <w:spacing w:before="2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53E1B" w:rsidRPr="00701109" w:rsidRDefault="00453E1B" w:rsidP="00453E1B">
            <w:pPr>
              <w:pStyle w:val="Tflutexti"/>
              <w:spacing w:before="2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4.10.</w:t>
            </w:r>
          </w:p>
        </w:tc>
        <w:tc>
          <w:tcPr>
            <w:tcW w:w="6181" w:type="dxa"/>
            <w:gridSpan w:val="2"/>
          </w:tcPr>
          <w:p w:rsidR="00685FFA" w:rsidRPr="00701109" w:rsidRDefault="00755030" w:rsidP="00755030">
            <w:pPr>
              <w:pStyle w:val="Tflutexti"/>
              <w:numPr>
                <w:ilvl w:val="0"/>
                <w:numId w:val="25"/>
              </w:numPr>
              <w:spacing w:after="0"/>
              <w:ind w:left="459" w:hanging="459"/>
              <w:rPr>
                <w:rFonts w:ascii="Times New Roman" w:hAnsi="Times New Roman" w:cs="Times New Roman"/>
                <w:sz w:val="18"/>
                <w:szCs w:val="18"/>
              </w:rPr>
            </w:pPr>
            <w:r w:rsidRPr="00701109">
              <w:rPr>
                <w:rFonts w:ascii="Times New Roman" w:hAnsi="Times New Roman" w:cs="Times New Roman"/>
                <w:sz w:val="18"/>
                <w:szCs w:val="18"/>
              </w:rPr>
              <w:t>Lokadagur.</w:t>
            </w:r>
          </w:p>
          <w:p w:rsidR="00755030" w:rsidRPr="00701109" w:rsidRDefault="00755030" w:rsidP="00755030">
            <w:pPr>
              <w:pStyle w:val="Tflutexti"/>
              <w:numPr>
                <w:ilvl w:val="0"/>
                <w:numId w:val="25"/>
              </w:numPr>
              <w:spacing w:before="0"/>
              <w:ind w:left="459" w:hanging="459"/>
              <w:rPr>
                <w:rFonts w:ascii="Times New Roman" w:hAnsi="Times New Roman" w:cs="Times New Roman"/>
                <w:sz w:val="18"/>
                <w:szCs w:val="18"/>
              </w:rPr>
            </w:pPr>
            <w:r w:rsidRPr="00701109">
              <w:rPr>
                <w:rFonts w:ascii="Times New Roman" w:hAnsi="Times New Roman" w:cs="Times New Roman"/>
                <w:sz w:val="18"/>
                <w:szCs w:val="18"/>
              </w:rPr>
              <w:t>Upplýsingar um fyrirkomulag á niðurgreiðslu lánsins, þ.m.t. hvernig endur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greiðslur fara fram.</w:t>
            </w:r>
          </w:p>
          <w:p w:rsidR="00755030" w:rsidRPr="00701109" w:rsidRDefault="00755030" w:rsidP="00755030">
            <w:pPr>
              <w:pStyle w:val="Tflutexti"/>
              <w:rPr>
                <w:rFonts w:ascii="Times New Roman" w:hAnsi="Times New Roman" w:cs="Times New Roman"/>
                <w:sz w:val="18"/>
                <w:szCs w:val="18"/>
              </w:rPr>
            </w:pPr>
            <w:r w:rsidRPr="00701109">
              <w:rPr>
                <w:rFonts w:ascii="Times New Roman" w:hAnsi="Times New Roman" w:cs="Times New Roman"/>
                <w:sz w:val="18"/>
                <w:szCs w:val="18"/>
              </w:rPr>
              <w:t>Sé fyrirhugað að flýta niðurgreiðslu lánsins, að frumkvæði útgefanda eða eiganda verð</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bréfsins, skal gera grein fyrir skilmálum niðurgreiðslunnar.</w:t>
            </w:r>
          </w:p>
        </w:tc>
        <w:tc>
          <w:tcPr>
            <w:tcW w:w="940" w:type="dxa"/>
          </w:tcPr>
          <w:p w:rsidR="00685FFA" w:rsidRPr="00701109" w:rsidRDefault="00755030" w:rsidP="00755030">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755030" w:rsidRPr="00701109" w:rsidRDefault="00755030" w:rsidP="00755030">
            <w:pPr>
              <w:pStyle w:val="Tflutexti"/>
              <w:spacing w:before="2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4.11.</w:t>
            </w:r>
          </w:p>
        </w:tc>
        <w:tc>
          <w:tcPr>
            <w:tcW w:w="6181" w:type="dxa"/>
            <w:gridSpan w:val="2"/>
          </w:tcPr>
          <w:p w:rsidR="00685FFA" w:rsidRPr="00701109" w:rsidRDefault="00755030" w:rsidP="00755030">
            <w:pPr>
              <w:pStyle w:val="Tflutexti"/>
              <w:numPr>
                <w:ilvl w:val="0"/>
                <w:numId w:val="27"/>
              </w:numPr>
              <w:spacing w:after="0"/>
              <w:ind w:left="459" w:hanging="459"/>
              <w:rPr>
                <w:rFonts w:ascii="Times New Roman" w:hAnsi="Times New Roman" w:cs="Times New Roman"/>
                <w:sz w:val="18"/>
                <w:szCs w:val="18"/>
              </w:rPr>
            </w:pPr>
            <w:r w:rsidRPr="00701109">
              <w:rPr>
                <w:rFonts w:ascii="Times New Roman" w:hAnsi="Times New Roman" w:cs="Times New Roman"/>
                <w:sz w:val="18"/>
                <w:szCs w:val="18"/>
              </w:rPr>
              <w:t>Upplýsingar um ákvörðun.</w:t>
            </w:r>
          </w:p>
          <w:p w:rsidR="00755030" w:rsidRPr="00701109" w:rsidRDefault="00755030" w:rsidP="00755030">
            <w:pPr>
              <w:pStyle w:val="Tflutexti"/>
              <w:spacing w:before="0"/>
              <w:ind w:left="459" w:hanging="459"/>
              <w:rPr>
                <w:rFonts w:ascii="Times New Roman" w:hAnsi="Times New Roman" w:cs="Times New Roman"/>
                <w:sz w:val="18"/>
                <w:szCs w:val="18"/>
              </w:rPr>
            </w:pPr>
            <w:r w:rsidRPr="00701109">
              <w:rPr>
                <w:rFonts w:ascii="Times New Roman" w:hAnsi="Times New Roman" w:cs="Times New Roman"/>
                <w:sz w:val="18"/>
                <w:szCs w:val="18"/>
              </w:rPr>
              <w:t>b)</w:t>
            </w:r>
            <w:r w:rsidRPr="00701109">
              <w:rPr>
                <w:rFonts w:ascii="Times New Roman" w:hAnsi="Times New Roman" w:cs="Times New Roman"/>
                <w:sz w:val="18"/>
                <w:szCs w:val="18"/>
              </w:rPr>
              <w:tab/>
              <w:t>Sé um að ræða verðbréf sem ekki eru hlutabréfatengd og eru fyrir almenna fjár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festa skal lýsa í stuttu máli þeirri aðferð sem er notuð til að reikna út ávöxtunina.</w:t>
            </w:r>
          </w:p>
        </w:tc>
        <w:tc>
          <w:tcPr>
            <w:tcW w:w="940" w:type="dxa"/>
          </w:tcPr>
          <w:p w:rsidR="00755030" w:rsidRPr="00701109" w:rsidRDefault="00755030" w:rsidP="00755030">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685FFA" w:rsidRPr="00701109" w:rsidRDefault="00755030" w:rsidP="00755030">
            <w:pPr>
              <w:pStyle w:val="Tflutexti"/>
              <w:spacing w:before="2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4.15.</w:t>
            </w:r>
          </w:p>
        </w:tc>
        <w:tc>
          <w:tcPr>
            <w:tcW w:w="6181" w:type="dxa"/>
            <w:gridSpan w:val="2"/>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Fyrirsvar fyrir eigendur skuldabréfa, þ.m.t. upplýsingar um stofnunina sem er í fyrirsvari fyrir fjárfestana og ákvæði sem gilda um slíkt fyrirsvar. Upplýsingar um vefsetur þar sem almenningur getur haft frjálsan aðgang að samningum í tengslum við þessar aðferðir við fyrirsvar.</w:t>
            </w:r>
          </w:p>
        </w:tc>
        <w:tc>
          <w:tcPr>
            <w:tcW w:w="940" w:type="dxa"/>
          </w:tcPr>
          <w:p w:rsidR="00685FFA" w:rsidRPr="00701109" w:rsidRDefault="00755030"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755030">
            <w:pPr>
              <w:pStyle w:val="Tflutexti"/>
              <w:rPr>
                <w:rFonts w:ascii="Times New Roman" w:hAnsi="Times New Roman" w:cs="Times New Roman"/>
                <w:sz w:val="18"/>
                <w:szCs w:val="18"/>
              </w:rPr>
            </w:pPr>
            <w:r w:rsidRPr="00701109">
              <w:rPr>
                <w:rFonts w:ascii="Times New Roman" w:hAnsi="Times New Roman" w:cs="Times New Roman"/>
                <w:sz w:val="18"/>
                <w:szCs w:val="18"/>
              </w:rPr>
              <w:t>Liður 4.16.</w:t>
            </w:r>
          </w:p>
        </w:tc>
        <w:tc>
          <w:tcPr>
            <w:tcW w:w="6181" w:type="dxa"/>
            <w:gridSpan w:val="2"/>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Ef ekki er boðið út skal tilgreina útgáfudag verðbréfanna.</w:t>
            </w:r>
          </w:p>
        </w:tc>
        <w:tc>
          <w:tcPr>
            <w:tcW w:w="940" w:type="dxa"/>
            <w:tcBorders>
              <w:bottom w:val="single" w:sz="4" w:space="0" w:color="auto"/>
            </w:tcBorders>
          </w:tcPr>
          <w:p w:rsidR="00685FFA" w:rsidRPr="00701109" w:rsidRDefault="00755030"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5. ÞÁTTUR</w:t>
            </w:r>
          </w:p>
        </w:tc>
        <w:tc>
          <w:tcPr>
            <w:tcW w:w="6181" w:type="dxa"/>
            <w:gridSpan w:val="2"/>
            <w:tcBorders>
              <w:right w:val="nil"/>
            </w:tcBorders>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SKILMÁLAR ÚTBOÐS (AÐEINS ALMENNIR FJÁRFESTAR)</w:t>
            </w:r>
          </w:p>
        </w:tc>
        <w:tc>
          <w:tcPr>
            <w:tcW w:w="940" w:type="dxa"/>
            <w:tcBorders>
              <w:left w:val="nil"/>
              <w:bottom w:val="single" w:sz="4" w:space="0" w:color="auto"/>
            </w:tcBorders>
          </w:tcPr>
          <w:p w:rsidR="00685FFA" w:rsidRPr="00701109" w:rsidRDefault="00685FFA" w:rsidP="00685FFA">
            <w:pPr>
              <w:pStyle w:val="Tflutexti"/>
              <w:spacing w:before="160" w:after="0" w:line="240" w:lineRule="auto"/>
              <w:rPr>
                <w:rFonts w:ascii="Times New Roman" w:hAnsi="Times New Roman" w:cs="Times New Roman"/>
                <w:sz w:val="18"/>
                <w:szCs w:val="18"/>
              </w:rPr>
            </w:pPr>
          </w:p>
        </w:tc>
      </w:tr>
      <w:tr w:rsidR="00755030" w:rsidRPr="00701109" w:rsidTr="009D7181">
        <w:trPr>
          <w:trHeight w:val="567"/>
        </w:trPr>
        <w:tc>
          <w:tcPr>
            <w:tcW w:w="825" w:type="dxa"/>
          </w:tcPr>
          <w:p w:rsidR="00755030" w:rsidRPr="00701109" w:rsidRDefault="00755030" w:rsidP="00685FFA">
            <w:pPr>
              <w:pStyle w:val="Tflutexti"/>
              <w:spacing w:before="240" w:line="240" w:lineRule="auto"/>
              <w:rPr>
                <w:rFonts w:ascii="Times New Roman" w:hAnsi="Times New Roman" w:cs="Times New Roman"/>
                <w:sz w:val="18"/>
                <w:szCs w:val="18"/>
              </w:rPr>
            </w:pPr>
          </w:p>
        </w:tc>
        <w:tc>
          <w:tcPr>
            <w:tcW w:w="1414" w:type="dxa"/>
          </w:tcPr>
          <w:p w:rsidR="00755030"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w:t>
            </w:r>
          </w:p>
        </w:tc>
        <w:tc>
          <w:tcPr>
            <w:tcW w:w="7121" w:type="dxa"/>
            <w:gridSpan w:val="3"/>
          </w:tcPr>
          <w:p w:rsidR="00755030" w:rsidRPr="00701109" w:rsidRDefault="00755030" w:rsidP="00685FFA">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Skilmálar, tölfræðilegar upplýsingar um útboð, fyrirhuguð tímaáætlun og ráðstafanir sem þarf að gera til að taka þátt í útboðinu</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5.1.1.</w:t>
            </w:r>
          </w:p>
        </w:tc>
        <w:tc>
          <w:tcPr>
            <w:tcW w:w="6181" w:type="dxa"/>
            <w:gridSpan w:val="2"/>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Skilmálar sem gilda um útboðið.</w:t>
            </w:r>
          </w:p>
        </w:tc>
        <w:tc>
          <w:tcPr>
            <w:tcW w:w="940" w:type="dxa"/>
            <w:tcBorders>
              <w:bottom w:val="single" w:sz="4" w:space="0" w:color="auto"/>
            </w:tcBorders>
          </w:tcPr>
          <w:p w:rsidR="00685FFA" w:rsidRPr="00701109" w:rsidRDefault="00755030"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5.1.2.</w:t>
            </w:r>
          </w:p>
        </w:tc>
        <w:tc>
          <w:tcPr>
            <w:tcW w:w="6181" w:type="dxa"/>
            <w:gridSpan w:val="2"/>
            <w:tcBorders>
              <w:right w:val="single" w:sz="4" w:space="0" w:color="auto"/>
            </w:tcBorders>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útboðstímabil, þ.m.t. hvers kyns mögulegar breytingar, lýsing á áskriftarferlinu og útgáfudagur nýrra verðbréfa.</w:t>
            </w:r>
          </w:p>
        </w:tc>
        <w:tc>
          <w:tcPr>
            <w:tcW w:w="940" w:type="dxa"/>
            <w:tcBorders>
              <w:left w:val="single" w:sz="4" w:space="0" w:color="auto"/>
            </w:tcBorders>
          </w:tcPr>
          <w:p w:rsidR="00685FFA" w:rsidRPr="00701109" w:rsidRDefault="00755030"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5.1.3.</w:t>
            </w:r>
          </w:p>
        </w:tc>
        <w:tc>
          <w:tcPr>
            <w:tcW w:w="6181" w:type="dxa"/>
            <w:gridSpan w:val="2"/>
          </w:tcPr>
          <w:p w:rsidR="00685FFA" w:rsidRPr="00701109" w:rsidRDefault="00755030"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mögulegar skerðingar á áskriftum og með hvaða hætti endurgreiðsla umframfjárhæða sem umsækjendur hafa greitt fer fram.</w:t>
            </w:r>
          </w:p>
        </w:tc>
        <w:tc>
          <w:tcPr>
            <w:tcW w:w="940" w:type="dxa"/>
            <w:tcBorders>
              <w:bottom w:val="single" w:sz="4" w:space="0" w:color="auto"/>
            </w:tcBorders>
          </w:tcPr>
          <w:p w:rsidR="00685FFA" w:rsidRPr="00701109" w:rsidRDefault="00755030"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5.1.4.</w:t>
            </w:r>
          </w:p>
        </w:tc>
        <w:tc>
          <w:tcPr>
            <w:tcW w:w="6181" w:type="dxa"/>
            <w:gridSpan w:val="2"/>
            <w:tcBorders>
              <w:right w:val="single" w:sz="4" w:space="0" w:color="auto"/>
            </w:tcBorders>
          </w:tcPr>
          <w:p w:rsidR="00685FFA" w:rsidRPr="00701109" w:rsidRDefault="0000321F"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lágmarks- og/eða hámarksmagn áskriftar (hvort sem er í formi fjölda verðbréfa eða samanlagðrar fjárfestingarfjárhæðar).</w:t>
            </w:r>
          </w:p>
        </w:tc>
        <w:tc>
          <w:tcPr>
            <w:tcW w:w="940" w:type="dxa"/>
            <w:tcBorders>
              <w:left w:val="single" w:sz="4" w:space="0" w:color="auto"/>
            </w:tcBorders>
          </w:tcPr>
          <w:p w:rsidR="00685FFA" w:rsidRPr="00701109" w:rsidRDefault="0000321F"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5.1.5.</w:t>
            </w:r>
          </w:p>
        </w:tc>
        <w:tc>
          <w:tcPr>
            <w:tcW w:w="6181" w:type="dxa"/>
            <w:gridSpan w:val="2"/>
          </w:tcPr>
          <w:p w:rsidR="00685FFA" w:rsidRPr="00701109" w:rsidRDefault="0000321F"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Skipulag og tímamörk greiðslu og afhendingar verðbréfa.</w:t>
            </w:r>
          </w:p>
        </w:tc>
        <w:tc>
          <w:tcPr>
            <w:tcW w:w="940" w:type="dxa"/>
          </w:tcPr>
          <w:p w:rsidR="00685FFA" w:rsidRPr="00701109" w:rsidRDefault="0000321F"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5.1.6</w:t>
            </w:r>
          </w:p>
        </w:tc>
        <w:tc>
          <w:tcPr>
            <w:tcW w:w="6181" w:type="dxa"/>
            <w:gridSpan w:val="2"/>
          </w:tcPr>
          <w:p w:rsidR="00685FFA" w:rsidRPr="00701109" w:rsidRDefault="0000321F"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Ítarleg lýsing á því hvernig og á hvaða degi niðurstöður útboðsins verða birtar opinber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lega.</w:t>
            </w:r>
          </w:p>
        </w:tc>
        <w:tc>
          <w:tcPr>
            <w:tcW w:w="940" w:type="dxa"/>
          </w:tcPr>
          <w:p w:rsidR="00685FFA" w:rsidRPr="00701109" w:rsidRDefault="0000321F"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85FFA" w:rsidRPr="00701109" w:rsidTr="009D7181">
        <w:trPr>
          <w:trHeight w:val="567"/>
        </w:trPr>
        <w:tc>
          <w:tcPr>
            <w:tcW w:w="825" w:type="dxa"/>
          </w:tcPr>
          <w:p w:rsidR="00685FFA" w:rsidRPr="00701109" w:rsidRDefault="00685FFA" w:rsidP="00685FFA">
            <w:pPr>
              <w:pStyle w:val="Tflutexti"/>
              <w:spacing w:before="240" w:line="240" w:lineRule="auto"/>
              <w:rPr>
                <w:rFonts w:ascii="Times New Roman" w:hAnsi="Times New Roman" w:cs="Times New Roman"/>
                <w:sz w:val="18"/>
                <w:szCs w:val="18"/>
              </w:rPr>
            </w:pPr>
          </w:p>
        </w:tc>
        <w:tc>
          <w:tcPr>
            <w:tcW w:w="1414" w:type="dxa"/>
          </w:tcPr>
          <w:p w:rsidR="00685FFA" w:rsidRPr="00701109" w:rsidRDefault="00755030"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5.1.7.</w:t>
            </w:r>
          </w:p>
        </w:tc>
        <w:tc>
          <w:tcPr>
            <w:tcW w:w="6181" w:type="dxa"/>
            <w:gridSpan w:val="2"/>
          </w:tcPr>
          <w:p w:rsidR="00685FFA" w:rsidRPr="00701109" w:rsidRDefault="0000321F"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Tilhögun við nýtingu forkaupsréttar, framsal áskriftarréttinda og hvernig farið skuli með áskriftarréttindi sem ekki eru nýtt.</w:t>
            </w:r>
          </w:p>
        </w:tc>
        <w:tc>
          <w:tcPr>
            <w:tcW w:w="940" w:type="dxa"/>
          </w:tcPr>
          <w:p w:rsidR="00685FFA" w:rsidRPr="00701109" w:rsidRDefault="0000321F"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396E77" w:rsidRPr="00701109" w:rsidTr="009D7181">
        <w:trPr>
          <w:trHeight w:val="567"/>
        </w:trPr>
        <w:tc>
          <w:tcPr>
            <w:tcW w:w="825" w:type="dxa"/>
          </w:tcPr>
          <w:p w:rsidR="00396E77" w:rsidRPr="00701109" w:rsidRDefault="00396E77" w:rsidP="00685FFA">
            <w:pPr>
              <w:pStyle w:val="Tflutexti"/>
              <w:spacing w:before="240" w:line="240" w:lineRule="auto"/>
              <w:rPr>
                <w:rFonts w:ascii="Times New Roman" w:hAnsi="Times New Roman" w:cs="Times New Roman"/>
                <w:sz w:val="18"/>
                <w:szCs w:val="18"/>
              </w:rPr>
            </w:pPr>
          </w:p>
        </w:tc>
        <w:tc>
          <w:tcPr>
            <w:tcW w:w="1414" w:type="dxa"/>
          </w:tcPr>
          <w:p w:rsidR="00396E77" w:rsidRPr="00701109" w:rsidRDefault="00396E77"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5.1.8.</w:t>
            </w:r>
          </w:p>
        </w:tc>
        <w:tc>
          <w:tcPr>
            <w:tcW w:w="6181" w:type="dxa"/>
            <w:gridSpan w:val="2"/>
          </w:tcPr>
          <w:p w:rsidR="00396E77" w:rsidRPr="00701109" w:rsidRDefault="00396E77" w:rsidP="00396E77">
            <w:pPr>
              <w:pStyle w:val="Tflutexti"/>
              <w:rPr>
                <w:rFonts w:ascii="Times New Roman" w:hAnsi="Times New Roman" w:cs="Times New Roman"/>
                <w:sz w:val="18"/>
                <w:szCs w:val="18"/>
              </w:rPr>
            </w:pPr>
            <w:r w:rsidRPr="00701109">
              <w:rPr>
                <w:rFonts w:ascii="Times New Roman" w:hAnsi="Times New Roman" w:cs="Times New Roman"/>
                <w:sz w:val="18"/>
                <w:szCs w:val="18"/>
              </w:rPr>
              <w:t>Heildarfjárhæð útgáfunnar/útboðsins. Sé fjárhæðin ekki föst skal tilgreina magn verð</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bréfa sem boðin verða (liggi það fyrir) og lýsa hvernig og hvenær endanleg fjárhæð útboðsins verður tilkynnt opinberlega.</w:t>
            </w:r>
          </w:p>
          <w:p w:rsidR="00396E77" w:rsidRPr="00701109" w:rsidRDefault="00396E77" w:rsidP="00396E77">
            <w:pPr>
              <w:pStyle w:val="Tflutexti"/>
              <w:rPr>
                <w:rFonts w:ascii="Times New Roman" w:hAnsi="Times New Roman" w:cs="Times New Roman"/>
                <w:sz w:val="18"/>
                <w:szCs w:val="18"/>
              </w:rPr>
            </w:pPr>
            <w:r w:rsidRPr="00701109">
              <w:rPr>
                <w:rFonts w:ascii="Times New Roman" w:hAnsi="Times New Roman" w:cs="Times New Roman"/>
                <w:sz w:val="18"/>
                <w:szCs w:val="18"/>
              </w:rPr>
              <w:t>Sé ekki hægt að tilgreina í lýsingu hámarksmagn verðbréfa sem boðin verða skal koma fram í henni að hægt verði að afturkalla samþykki á kaupum á eða áskrift að verðbréfum í a.m.k. tvo virka daga eftir að tilkynnt er um verðbréfamagnið sem boðið verður í almenna útboðinu.</w:t>
            </w:r>
          </w:p>
        </w:tc>
        <w:tc>
          <w:tcPr>
            <w:tcW w:w="940" w:type="dxa"/>
            <w:tcBorders>
              <w:bottom w:val="single" w:sz="4" w:space="0" w:color="auto"/>
            </w:tcBorders>
          </w:tcPr>
          <w:p w:rsidR="00396E77" w:rsidRPr="00701109" w:rsidRDefault="00396E77"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396E77" w:rsidRPr="00701109" w:rsidTr="009D7181">
        <w:trPr>
          <w:trHeight w:val="567"/>
        </w:trPr>
        <w:tc>
          <w:tcPr>
            <w:tcW w:w="825" w:type="dxa"/>
          </w:tcPr>
          <w:p w:rsidR="00396E77" w:rsidRPr="00701109" w:rsidRDefault="00396E77" w:rsidP="00685FFA">
            <w:pPr>
              <w:pStyle w:val="Tflutexti"/>
              <w:spacing w:before="240" w:line="240" w:lineRule="auto"/>
              <w:rPr>
                <w:rFonts w:ascii="Times New Roman" w:hAnsi="Times New Roman" w:cs="Times New Roman"/>
                <w:sz w:val="18"/>
                <w:szCs w:val="18"/>
              </w:rPr>
            </w:pPr>
          </w:p>
        </w:tc>
        <w:tc>
          <w:tcPr>
            <w:tcW w:w="1414" w:type="dxa"/>
          </w:tcPr>
          <w:p w:rsidR="00396E77" w:rsidRPr="00701109" w:rsidRDefault="00396E77"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5.2.</w:t>
            </w:r>
          </w:p>
        </w:tc>
        <w:tc>
          <w:tcPr>
            <w:tcW w:w="6181" w:type="dxa"/>
            <w:gridSpan w:val="2"/>
            <w:tcBorders>
              <w:right w:val="nil"/>
            </w:tcBorders>
          </w:tcPr>
          <w:p w:rsidR="00396E77" w:rsidRPr="00701109" w:rsidRDefault="00396E77"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Skipulag dreifingar og úthlutunar</w:t>
            </w:r>
          </w:p>
        </w:tc>
        <w:tc>
          <w:tcPr>
            <w:tcW w:w="940" w:type="dxa"/>
            <w:tcBorders>
              <w:left w:val="nil"/>
            </w:tcBorders>
          </w:tcPr>
          <w:p w:rsidR="00396E77" w:rsidRPr="00701109" w:rsidRDefault="00396E77" w:rsidP="00685FFA">
            <w:pPr>
              <w:pStyle w:val="Tflutexti"/>
              <w:spacing w:before="160" w:after="0" w:line="240" w:lineRule="auto"/>
              <w:rPr>
                <w:rFonts w:ascii="Times New Roman" w:hAnsi="Times New Roman" w:cs="Times New Roman"/>
                <w:sz w:val="18"/>
                <w:szCs w:val="18"/>
              </w:rPr>
            </w:pPr>
          </w:p>
        </w:tc>
      </w:tr>
      <w:tr w:rsidR="00396E77" w:rsidRPr="00701109" w:rsidTr="009D7181">
        <w:trPr>
          <w:trHeight w:val="567"/>
        </w:trPr>
        <w:tc>
          <w:tcPr>
            <w:tcW w:w="825" w:type="dxa"/>
          </w:tcPr>
          <w:p w:rsidR="00396E77" w:rsidRPr="00701109" w:rsidRDefault="00396E77" w:rsidP="00685FFA">
            <w:pPr>
              <w:pStyle w:val="Tflutexti"/>
              <w:spacing w:before="240" w:line="240" w:lineRule="auto"/>
              <w:rPr>
                <w:rFonts w:ascii="Times New Roman" w:hAnsi="Times New Roman" w:cs="Times New Roman"/>
                <w:sz w:val="18"/>
                <w:szCs w:val="18"/>
              </w:rPr>
            </w:pPr>
          </w:p>
        </w:tc>
        <w:tc>
          <w:tcPr>
            <w:tcW w:w="1414" w:type="dxa"/>
          </w:tcPr>
          <w:p w:rsidR="00396E77" w:rsidRPr="00701109" w:rsidRDefault="00396E77" w:rsidP="00685FFA">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5.2.1.</w:t>
            </w:r>
          </w:p>
        </w:tc>
        <w:tc>
          <w:tcPr>
            <w:tcW w:w="6181" w:type="dxa"/>
            <w:gridSpan w:val="2"/>
          </w:tcPr>
          <w:p w:rsidR="00396E77" w:rsidRPr="00701109" w:rsidRDefault="00396E77" w:rsidP="00685FFA">
            <w:pPr>
              <w:pStyle w:val="Tflutexti"/>
              <w:rPr>
                <w:rFonts w:ascii="Times New Roman" w:hAnsi="Times New Roman" w:cs="Times New Roman"/>
                <w:sz w:val="18"/>
                <w:szCs w:val="18"/>
              </w:rPr>
            </w:pPr>
            <w:r w:rsidRPr="00701109">
              <w:rPr>
                <w:rFonts w:ascii="Times New Roman" w:hAnsi="Times New Roman" w:cs="Times New Roman"/>
                <w:sz w:val="18"/>
                <w:szCs w:val="18"/>
              </w:rPr>
              <w:t>Ferli til að tilkynna umsækjendum um fjárhæðina sem úthlutað er og tilgreining þess hvort viðskipti mega hefjast áður en tilkynning berst þeim.</w:t>
            </w:r>
          </w:p>
        </w:tc>
        <w:tc>
          <w:tcPr>
            <w:tcW w:w="940" w:type="dxa"/>
            <w:tcBorders>
              <w:bottom w:val="single" w:sz="4" w:space="0" w:color="auto"/>
            </w:tcBorders>
          </w:tcPr>
          <w:p w:rsidR="00396E77" w:rsidRPr="00701109" w:rsidRDefault="00396E77" w:rsidP="00685FFA">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426D5F"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5.3</w:t>
            </w:r>
          </w:p>
        </w:tc>
        <w:tc>
          <w:tcPr>
            <w:tcW w:w="6181" w:type="dxa"/>
            <w:gridSpan w:val="2"/>
            <w:tcBorders>
              <w:right w:val="nil"/>
            </w:tcBorders>
          </w:tcPr>
          <w:p w:rsidR="00426D5F" w:rsidRPr="00701109" w:rsidRDefault="00426D5F"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Verðlagning</w:t>
            </w:r>
          </w:p>
        </w:tc>
        <w:tc>
          <w:tcPr>
            <w:tcW w:w="940" w:type="dxa"/>
            <w:tcBorders>
              <w:left w:val="nil"/>
            </w:tcBorders>
          </w:tcPr>
          <w:p w:rsidR="00426D5F" w:rsidRPr="00701109" w:rsidRDefault="00426D5F" w:rsidP="00426D5F">
            <w:pPr>
              <w:pStyle w:val="Tflutexti"/>
              <w:spacing w:before="160" w:after="0" w:line="240" w:lineRule="auto"/>
              <w:rPr>
                <w:rFonts w:ascii="Times New Roman" w:hAnsi="Times New Roman" w:cs="Times New Roman"/>
                <w:sz w:val="18"/>
                <w:szCs w:val="18"/>
              </w:rPr>
            </w:pP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426D5F"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5.3.1.</w:t>
            </w:r>
          </w:p>
        </w:tc>
        <w:tc>
          <w:tcPr>
            <w:tcW w:w="6181" w:type="dxa"/>
            <w:gridSpan w:val="2"/>
          </w:tcPr>
          <w:p w:rsidR="00426D5F" w:rsidRPr="00701109" w:rsidRDefault="00426D5F" w:rsidP="00426D5F">
            <w:pPr>
              <w:pStyle w:val="Tflutexti"/>
              <w:numPr>
                <w:ilvl w:val="0"/>
                <w:numId w:val="28"/>
              </w:numPr>
              <w:spacing w:after="0"/>
              <w:ind w:left="318" w:hanging="318"/>
              <w:rPr>
                <w:rFonts w:ascii="Times New Roman" w:hAnsi="Times New Roman" w:cs="Times New Roman"/>
                <w:sz w:val="18"/>
                <w:szCs w:val="18"/>
              </w:rPr>
            </w:pPr>
            <w:r w:rsidRPr="00701109">
              <w:rPr>
                <w:rFonts w:ascii="Times New Roman" w:hAnsi="Times New Roman" w:cs="Times New Roman"/>
                <w:sz w:val="18"/>
                <w:szCs w:val="18"/>
              </w:rPr>
              <w:t>Tilgreina skal verðið sem verðbréfin verða boðin á, eða</w:t>
            </w:r>
          </w:p>
          <w:p w:rsidR="00426D5F" w:rsidRPr="00701109" w:rsidRDefault="00426D5F" w:rsidP="00426D5F">
            <w:pPr>
              <w:pStyle w:val="Tflutexti"/>
              <w:numPr>
                <w:ilvl w:val="0"/>
                <w:numId w:val="28"/>
              </w:numPr>
              <w:spacing w:before="0" w:after="0"/>
              <w:ind w:left="318" w:hanging="318"/>
              <w:rPr>
                <w:rFonts w:ascii="Times New Roman" w:hAnsi="Times New Roman" w:cs="Times New Roman"/>
                <w:sz w:val="18"/>
                <w:szCs w:val="18"/>
              </w:rPr>
            </w:pPr>
            <w:r w:rsidRPr="00701109">
              <w:rPr>
                <w:rFonts w:ascii="Times New Roman" w:hAnsi="Times New Roman" w:cs="Times New Roman"/>
                <w:sz w:val="18"/>
                <w:szCs w:val="18"/>
              </w:rPr>
              <w:t>lýsa aðferðinni sem er notuð til að ákvarða útboðsverð og ferlinu við birtingu þess.</w:t>
            </w:r>
          </w:p>
          <w:p w:rsidR="00426D5F" w:rsidRPr="00701109" w:rsidRDefault="00426D5F" w:rsidP="00426D5F">
            <w:pPr>
              <w:pStyle w:val="Tflutexti"/>
              <w:numPr>
                <w:ilvl w:val="0"/>
                <w:numId w:val="28"/>
              </w:numPr>
              <w:spacing w:before="0"/>
              <w:ind w:left="318" w:hanging="318"/>
              <w:rPr>
                <w:rFonts w:ascii="Times New Roman" w:hAnsi="Times New Roman" w:cs="Times New Roman"/>
                <w:sz w:val="18"/>
                <w:szCs w:val="18"/>
              </w:rPr>
            </w:pPr>
            <w:r w:rsidRPr="00701109">
              <w:rPr>
                <w:rFonts w:ascii="Times New Roman" w:hAnsi="Times New Roman" w:cs="Times New Roman"/>
                <w:sz w:val="18"/>
                <w:szCs w:val="18"/>
              </w:rPr>
              <w:t>Tilgreina skal fjárhæð allra útgjalda og skatta sem áskrifandi eða kaupandi þarf að greiða. Falli útgefandi undir reglugerð (ESB) nr. 1286/2014 eða tilskipun 2014/65/ESB skal tilgreina kostnað sem er innifalinn í verðinu, að því marki sem hann er þekktur.</w:t>
            </w:r>
          </w:p>
        </w:tc>
        <w:tc>
          <w:tcPr>
            <w:tcW w:w="940" w:type="dxa"/>
            <w:tcBorders>
              <w:bottom w:val="single" w:sz="4" w:space="0" w:color="auto"/>
            </w:tcBorders>
          </w:tcPr>
          <w:p w:rsidR="00426D5F" w:rsidRPr="00701109" w:rsidRDefault="00426D5F" w:rsidP="00426D5F">
            <w:pPr>
              <w:pStyle w:val="Tflutexti"/>
              <w:spacing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p w:rsidR="00426D5F" w:rsidRPr="00701109" w:rsidRDefault="00426D5F" w:rsidP="00426D5F">
            <w:pPr>
              <w:pStyle w:val="Tflutexti"/>
              <w:spacing w:before="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p w:rsidR="00426D5F" w:rsidRPr="00701109" w:rsidRDefault="00426D5F"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3F7D69"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Atriði 5,4.</w:t>
            </w:r>
          </w:p>
        </w:tc>
        <w:tc>
          <w:tcPr>
            <w:tcW w:w="6181" w:type="dxa"/>
            <w:gridSpan w:val="2"/>
            <w:tcBorders>
              <w:right w:val="nil"/>
            </w:tcBorders>
          </w:tcPr>
          <w:p w:rsidR="00426D5F" w:rsidRPr="00701109" w:rsidRDefault="003F7D6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Setning á markað og sölutrygging</w:t>
            </w:r>
          </w:p>
        </w:tc>
        <w:tc>
          <w:tcPr>
            <w:tcW w:w="940" w:type="dxa"/>
            <w:tcBorders>
              <w:left w:val="nil"/>
            </w:tcBorders>
          </w:tcPr>
          <w:p w:rsidR="00426D5F" w:rsidRPr="00701109" w:rsidRDefault="00426D5F" w:rsidP="00426D5F">
            <w:pPr>
              <w:pStyle w:val="Tflutexti"/>
              <w:spacing w:before="160" w:after="0" w:line="240" w:lineRule="auto"/>
              <w:rPr>
                <w:rFonts w:ascii="Times New Roman" w:hAnsi="Times New Roman" w:cs="Times New Roman"/>
                <w:sz w:val="18"/>
                <w:szCs w:val="18"/>
              </w:rPr>
            </w:pP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3F7D69"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5.4.1.</w:t>
            </w:r>
          </w:p>
        </w:tc>
        <w:tc>
          <w:tcPr>
            <w:tcW w:w="6181" w:type="dxa"/>
            <w:gridSpan w:val="2"/>
          </w:tcPr>
          <w:p w:rsidR="00426D5F" w:rsidRPr="00701109" w:rsidRDefault="003F7D6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Nafn og heimilisfang þess eða þeirra sem hafa umsjón með heildarútboðinu eða ein</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staka hlutum þess og, að því marki sem útgefanda eða tilboðsgjafa er kunnugt um, þeirra sem setja verðbréfin á markað í þeim ýmsu löndum þar sem útboðið fer fram.</w:t>
            </w:r>
          </w:p>
        </w:tc>
        <w:tc>
          <w:tcPr>
            <w:tcW w:w="940" w:type="dxa"/>
          </w:tcPr>
          <w:p w:rsidR="00426D5F" w:rsidRPr="00701109" w:rsidRDefault="003F7D69"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3F7D69"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5.4.2.</w:t>
            </w:r>
          </w:p>
        </w:tc>
        <w:tc>
          <w:tcPr>
            <w:tcW w:w="6181" w:type="dxa"/>
            <w:gridSpan w:val="2"/>
          </w:tcPr>
          <w:p w:rsidR="00426D5F" w:rsidRPr="00701109" w:rsidRDefault="003F7D6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Nafn og heimilisfang þeirra aðila sem annast greiðslur og vörsluaðila í hverju landi fyrir sig.</w:t>
            </w:r>
          </w:p>
        </w:tc>
        <w:tc>
          <w:tcPr>
            <w:tcW w:w="940" w:type="dxa"/>
          </w:tcPr>
          <w:p w:rsidR="00426D5F" w:rsidRPr="00701109" w:rsidRDefault="003F7D69"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662A42" w:rsidRPr="00701109" w:rsidRDefault="00662A42"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5.4.3.</w:t>
            </w:r>
          </w:p>
        </w:tc>
        <w:tc>
          <w:tcPr>
            <w:tcW w:w="6181" w:type="dxa"/>
            <w:gridSpan w:val="2"/>
          </w:tcPr>
          <w:p w:rsidR="00662A42" w:rsidRPr="00701109" w:rsidRDefault="00662A42"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Nöfn og heimilisföng aðila sem hafa samþykkt með bindandi samkomulagi að sölu</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c>
          <w:tcPr>
            <w:tcW w:w="940" w:type="dxa"/>
          </w:tcPr>
          <w:p w:rsidR="00662A42" w:rsidRPr="00701109" w:rsidRDefault="00662A42"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662A42" w:rsidRPr="00701109" w:rsidRDefault="00662A42"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5.4.4.</w:t>
            </w:r>
          </w:p>
        </w:tc>
        <w:tc>
          <w:tcPr>
            <w:tcW w:w="6181" w:type="dxa"/>
            <w:gridSpan w:val="2"/>
          </w:tcPr>
          <w:p w:rsidR="00662A42" w:rsidRPr="00701109" w:rsidRDefault="00662A42"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hvenær samningur um sölutryggingu var eða verður samþykktur.</w:t>
            </w:r>
          </w:p>
        </w:tc>
        <w:tc>
          <w:tcPr>
            <w:tcW w:w="940" w:type="dxa"/>
            <w:tcBorders>
              <w:bottom w:val="single" w:sz="4" w:space="0" w:color="auto"/>
            </w:tcBorders>
          </w:tcPr>
          <w:p w:rsidR="00662A42" w:rsidRPr="00701109" w:rsidRDefault="00662A42"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662A42" w:rsidRPr="00701109" w:rsidRDefault="00662A42"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6. ÞÁTTUR</w:t>
            </w:r>
          </w:p>
        </w:tc>
        <w:tc>
          <w:tcPr>
            <w:tcW w:w="6181" w:type="dxa"/>
            <w:gridSpan w:val="2"/>
            <w:tcBorders>
              <w:right w:val="nil"/>
            </w:tcBorders>
          </w:tcPr>
          <w:p w:rsidR="00662A42" w:rsidRPr="00701109" w:rsidRDefault="00662A42"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TAKA TIL VIÐSKIPTA OG FYRIRKOMULAG VIÐSKIPTA</w:t>
            </w:r>
          </w:p>
        </w:tc>
        <w:tc>
          <w:tcPr>
            <w:tcW w:w="940" w:type="dxa"/>
            <w:tcBorders>
              <w:left w:val="nil"/>
            </w:tcBorders>
          </w:tcPr>
          <w:p w:rsidR="00662A42" w:rsidRPr="00701109" w:rsidRDefault="00662A42" w:rsidP="00426D5F">
            <w:pPr>
              <w:pStyle w:val="Tflutexti"/>
              <w:spacing w:before="160" w:after="0" w:line="240" w:lineRule="auto"/>
              <w:rPr>
                <w:rFonts w:ascii="Times New Roman" w:hAnsi="Times New Roman" w:cs="Times New Roman"/>
                <w:sz w:val="18"/>
                <w:szCs w:val="18"/>
              </w:rPr>
            </w:pP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662A42" w:rsidRPr="00701109" w:rsidRDefault="00662A42"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6.1.</w:t>
            </w:r>
          </w:p>
        </w:tc>
        <w:tc>
          <w:tcPr>
            <w:tcW w:w="6181" w:type="dxa"/>
            <w:gridSpan w:val="2"/>
          </w:tcPr>
          <w:p w:rsidR="00662A42" w:rsidRPr="00701109" w:rsidRDefault="00662A42"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Upplýsingar um hvort sótt hafi verið eða sótt verði um töku verðbréfanna, sem boðin eru, til viðskipta með dreifingu þeirra í huga á skipulegum markaði, öðrum jafngildum mörkuðum þriðju landa eða vaxtarmarkaði lítilla og meðalstórra fyrirtækja, ásamt upp</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lýsingum um viðkomandi markaði. Nefna skal þessar aðstæður án þess að gefa í skyn að endilega verði samþykkt að taka þau til viðskipta. Tilgreina skal þá daga sem verð</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bréfin verða fyrst tekin til viðskipta, sé vitað um þá.</w:t>
            </w:r>
          </w:p>
        </w:tc>
        <w:tc>
          <w:tcPr>
            <w:tcW w:w="940" w:type="dxa"/>
          </w:tcPr>
          <w:p w:rsidR="00662A42" w:rsidRPr="00701109" w:rsidRDefault="00662A42"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B</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E63D76" w:rsidRPr="00701109" w:rsidRDefault="00662A42" w:rsidP="00E63D76">
            <w:pPr>
              <w:pStyle w:val="Tflutexti"/>
              <w:spacing w:after="0" w:line="240" w:lineRule="auto"/>
              <w:jc w:val="left"/>
              <w:rPr>
                <w:rFonts w:ascii="Times New Roman" w:hAnsi="Times New Roman" w:cs="Times New Roman"/>
                <w:sz w:val="18"/>
                <w:szCs w:val="18"/>
              </w:rPr>
            </w:pPr>
            <w:r w:rsidRPr="00701109">
              <w:rPr>
                <w:rFonts w:ascii="Times New Roman" w:hAnsi="Times New Roman" w:cs="Times New Roman"/>
                <w:sz w:val="18"/>
                <w:szCs w:val="18"/>
              </w:rPr>
              <w:t xml:space="preserve">Liður 6.2. </w:t>
            </w:r>
          </w:p>
          <w:p w:rsidR="00662A42" w:rsidRPr="00701109" w:rsidRDefault="00662A42" w:rsidP="00E63D76">
            <w:pPr>
              <w:pStyle w:val="Tflutexti"/>
              <w:spacing w:before="0" w:line="240" w:lineRule="auto"/>
              <w:jc w:val="left"/>
              <w:rPr>
                <w:rFonts w:ascii="Times New Roman" w:hAnsi="Times New Roman" w:cs="Times New Roman"/>
                <w:sz w:val="18"/>
                <w:szCs w:val="18"/>
              </w:rPr>
            </w:pPr>
            <w:r w:rsidRPr="00701109">
              <w:rPr>
                <w:rFonts w:ascii="Times New Roman" w:hAnsi="Times New Roman" w:cs="Times New Roman"/>
                <w:sz w:val="18"/>
                <w:szCs w:val="18"/>
              </w:rPr>
              <w:t>(Aðeins almennir fjár</w:t>
            </w:r>
            <w:bookmarkStart w:id="0" w:name="_GoBack"/>
            <w:bookmarkEnd w:id="0"/>
            <w:r w:rsidRPr="00701109">
              <w:rPr>
                <w:rFonts w:ascii="Times New Roman" w:hAnsi="Times New Roman" w:cs="Times New Roman"/>
                <w:sz w:val="18"/>
                <w:szCs w:val="18"/>
              </w:rPr>
              <w:t>festar)</w:t>
            </w:r>
          </w:p>
        </w:tc>
        <w:tc>
          <w:tcPr>
            <w:tcW w:w="6181" w:type="dxa"/>
            <w:gridSpan w:val="2"/>
          </w:tcPr>
          <w:p w:rsidR="00662A42" w:rsidRPr="00701109" w:rsidRDefault="00872C2D"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Tilgreina skal alla skipulega markaði, jafngilda markaði þriðju landa eða vaxtarmarkaði lítilla og meðalstórra fyrirtækja sem útgefandi hefur vitneskju um að verðbréf í sama flokki og þau verðbréf sem á að bjóða til kaups eða taka til viðskipta hafi þegar verið tekin til viðskipta á.</w:t>
            </w:r>
          </w:p>
        </w:tc>
        <w:tc>
          <w:tcPr>
            <w:tcW w:w="940" w:type="dxa"/>
          </w:tcPr>
          <w:p w:rsidR="00662A42" w:rsidRPr="00701109" w:rsidRDefault="00872C2D"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E63D76" w:rsidRPr="00701109" w:rsidRDefault="00662A42" w:rsidP="00E63D76">
            <w:pPr>
              <w:pStyle w:val="Tflutexti"/>
              <w:spacing w:after="0"/>
              <w:jc w:val="left"/>
              <w:rPr>
                <w:rFonts w:ascii="Times New Roman" w:hAnsi="Times New Roman" w:cs="Times New Roman"/>
                <w:sz w:val="18"/>
                <w:szCs w:val="18"/>
              </w:rPr>
            </w:pPr>
            <w:r w:rsidRPr="00701109">
              <w:rPr>
                <w:rFonts w:ascii="Times New Roman" w:hAnsi="Times New Roman" w:cs="Times New Roman"/>
                <w:sz w:val="18"/>
                <w:szCs w:val="18"/>
              </w:rPr>
              <w:t xml:space="preserve">Liður 6.3. </w:t>
            </w:r>
          </w:p>
          <w:p w:rsidR="00662A42" w:rsidRPr="00701109" w:rsidRDefault="00662A42" w:rsidP="00E63D76">
            <w:pPr>
              <w:pStyle w:val="Tflutexti"/>
              <w:spacing w:before="0"/>
              <w:jc w:val="left"/>
              <w:rPr>
                <w:rFonts w:ascii="Times New Roman" w:hAnsi="Times New Roman" w:cs="Times New Roman"/>
                <w:sz w:val="18"/>
                <w:szCs w:val="18"/>
              </w:rPr>
            </w:pPr>
            <w:r w:rsidRPr="00701109">
              <w:rPr>
                <w:rFonts w:ascii="Times New Roman" w:hAnsi="Times New Roman" w:cs="Times New Roman"/>
                <w:sz w:val="18"/>
                <w:szCs w:val="18"/>
              </w:rPr>
              <w:t>(Aðeins almennir fjárfestar)</w:t>
            </w:r>
          </w:p>
        </w:tc>
        <w:tc>
          <w:tcPr>
            <w:tcW w:w="6181" w:type="dxa"/>
            <w:gridSpan w:val="2"/>
          </w:tcPr>
          <w:p w:rsidR="00662A42" w:rsidRPr="00701109" w:rsidRDefault="00872C2D"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Útgáfuverð verðbréfanna.</w:t>
            </w:r>
          </w:p>
        </w:tc>
        <w:tc>
          <w:tcPr>
            <w:tcW w:w="940" w:type="dxa"/>
          </w:tcPr>
          <w:p w:rsidR="00662A42" w:rsidRPr="00701109" w:rsidRDefault="00872C2D"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662A42" w:rsidRPr="00701109" w:rsidTr="009D7181">
        <w:trPr>
          <w:trHeight w:val="567"/>
        </w:trPr>
        <w:tc>
          <w:tcPr>
            <w:tcW w:w="825" w:type="dxa"/>
          </w:tcPr>
          <w:p w:rsidR="00662A42" w:rsidRPr="00701109" w:rsidRDefault="00662A42" w:rsidP="00426D5F">
            <w:pPr>
              <w:pStyle w:val="Tflutexti"/>
              <w:spacing w:before="240" w:line="240" w:lineRule="auto"/>
              <w:rPr>
                <w:rFonts w:ascii="Times New Roman" w:hAnsi="Times New Roman" w:cs="Times New Roman"/>
                <w:sz w:val="18"/>
                <w:szCs w:val="18"/>
              </w:rPr>
            </w:pPr>
          </w:p>
        </w:tc>
        <w:tc>
          <w:tcPr>
            <w:tcW w:w="1414" w:type="dxa"/>
          </w:tcPr>
          <w:p w:rsidR="00662A42" w:rsidRPr="00701109" w:rsidRDefault="00872C2D"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6.4. (Aðeins heildsölu</w:t>
            </w:r>
            <w:r w:rsidR="00701109">
              <w:rPr>
                <w:rFonts w:ascii="Times New Roman" w:hAnsi="Times New Roman" w:cs="Times New Roman"/>
                <w:sz w:val="18"/>
                <w:szCs w:val="18"/>
              </w:rPr>
              <w:t>-</w:t>
            </w:r>
            <w:r w:rsidRPr="00701109">
              <w:rPr>
                <w:rFonts w:ascii="Times New Roman" w:hAnsi="Times New Roman" w:cs="Times New Roman"/>
                <w:sz w:val="18"/>
                <w:szCs w:val="18"/>
              </w:rPr>
              <w:t>fjárfestar)</w:t>
            </w:r>
          </w:p>
        </w:tc>
        <w:tc>
          <w:tcPr>
            <w:tcW w:w="6181" w:type="dxa"/>
            <w:gridSpan w:val="2"/>
          </w:tcPr>
          <w:p w:rsidR="00662A42" w:rsidRPr="00701109" w:rsidRDefault="00872C2D"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Áætlaður heildarkostnaður vegna töku til viðskipta.</w:t>
            </w:r>
          </w:p>
        </w:tc>
        <w:tc>
          <w:tcPr>
            <w:tcW w:w="940" w:type="dxa"/>
          </w:tcPr>
          <w:p w:rsidR="00662A42" w:rsidRPr="00701109" w:rsidRDefault="00872C2D"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872C2D"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6.5.</w:t>
            </w:r>
          </w:p>
        </w:tc>
        <w:tc>
          <w:tcPr>
            <w:tcW w:w="6181" w:type="dxa"/>
            <w:gridSpan w:val="2"/>
          </w:tcPr>
          <w:p w:rsidR="00426D5F" w:rsidRPr="00701109" w:rsidRDefault="00872C2D"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Nafn og heimilisfang þeirra aðila sem annast greiðslur og vörsluaðila í hverju landi fyrir sig.</w:t>
            </w:r>
          </w:p>
        </w:tc>
        <w:tc>
          <w:tcPr>
            <w:tcW w:w="940" w:type="dxa"/>
            <w:tcBorders>
              <w:bottom w:val="single" w:sz="4" w:space="0" w:color="auto"/>
            </w:tcBorders>
          </w:tcPr>
          <w:p w:rsidR="00426D5F" w:rsidRPr="00701109" w:rsidRDefault="00872C2D"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426D5F" w:rsidRPr="00701109" w:rsidTr="009D7181">
        <w:trPr>
          <w:trHeight w:val="567"/>
        </w:trPr>
        <w:tc>
          <w:tcPr>
            <w:tcW w:w="825" w:type="dxa"/>
          </w:tcPr>
          <w:p w:rsidR="00426D5F" w:rsidRPr="00701109" w:rsidRDefault="00426D5F" w:rsidP="00426D5F">
            <w:pPr>
              <w:pStyle w:val="Tflutexti"/>
              <w:spacing w:before="240" w:line="240" w:lineRule="auto"/>
              <w:rPr>
                <w:rFonts w:ascii="Times New Roman" w:hAnsi="Times New Roman" w:cs="Times New Roman"/>
                <w:sz w:val="18"/>
                <w:szCs w:val="18"/>
              </w:rPr>
            </w:pPr>
          </w:p>
        </w:tc>
        <w:tc>
          <w:tcPr>
            <w:tcW w:w="1414" w:type="dxa"/>
          </w:tcPr>
          <w:p w:rsidR="00426D5F" w:rsidRPr="00701109" w:rsidRDefault="0014761D"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7. ÞÁTTUR</w:t>
            </w:r>
          </w:p>
        </w:tc>
        <w:tc>
          <w:tcPr>
            <w:tcW w:w="6181" w:type="dxa"/>
            <w:gridSpan w:val="2"/>
            <w:tcBorders>
              <w:right w:val="nil"/>
            </w:tcBorders>
          </w:tcPr>
          <w:p w:rsidR="00426D5F" w:rsidRPr="00701109" w:rsidRDefault="0014761D"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VIÐBÓTARUPPLÝSINGAR</w:t>
            </w:r>
          </w:p>
        </w:tc>
        <w:tc>
          <w:tcPr>
            <w:tcW w:w="940" w:type="dxa"/>
            <w:tcBorders>
              <w:left w:val="nil"/>
              <w:bottom w:val="single" w:sz="4" w:space="0" w:color="auto"/>
            </w:tcBorders>
          </w:tcPr>
          <w:p w:rsidR="00426D5F" w:rsidRPr="00701109" w:rsidRDefault="00426D5F" w:rsidP="00426D5F">
            <w:pPr>
              <w:pStyle w:val="Tflutexti"/>
              <w:spacing w:before="160" w:after="0" w:line="240" w:lineRule="auto"/>
              <w:rPr>
                <w:rFonts w:ascii="Times New Roman" w:hAnsi="Times New Roman" w:cs="Times New Roman"/>
                <w:sz w:val="18"/>
                <w:szCs w:val="18"/>
              </w:rPr>
            </w:pPr>
          </w:p>
        </w:tc>
      </w:tr>
      <w:tr w:rsidR="00201789" w:rsidRPr="00701109" w:rsidTr="009D7181">
        <w:trPr>
          <w:trHeight w:val="567"/>
        </w:trPr>
        <w:tc>
          <w:tcPr>
            <w:tcW w:w="825" w:type="dxa"/>
          </w:tcPr>
          <w:p w:rsidR="00201789" w:rsidRPr="00701109" w:rsidRDefault="00201789" w:rsidP="00426D5F">
            <w:pPr>
              <w:pStyle w:val="Tflutexti"/>
              <w:spacing w:before="240" w:line="240" w:lineRule="auto"/>
              <w:rPr>
                <w:rFonts w:ascii="Times New Roman" w:hAnsi="Times New Roman" w:cs="Times New Roman"/>
                <w:sz w:val="18"/>
                <w:szCs w:val="18"/>
              </w:rPr>
            </w:pPr>
          </w:p>
        </w:tc>
        <w:tc>
          <w:tcPr>
            <w:tcW w:w="1414" w:type="dxa"/>
          </w:tcPr>
          <w:p w:rsidR="00201789" w:rsidRPr="00701109" w:rsidRDefault="00201789"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7.1.</w:t>
            </w:r>
          </w:p>
        </w:tc>
        <w:tc>
          <w:tcPr>
            <w:tcW w:w="6181" w:type="dxa"/>
            <w:gridSpan w:val="2"/>
            <w:tcBorders>
              <w:right w:val="single" w:sz="4" w:space="0" w:color="auto"/>
            </w:tcBorders>
          </w:tcPr>
          <w:p w:rsidR="00201789" w:rsidRPr="00701109" w:rsidRDefault="0020178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Sé ráðgjafa í tengslum við útgáfu getið í verðbréfalýsingunni skal tilgreina hvert hlutverk þeirra hefur verið.</w:t>
            </w:r>
          </w:p>
        </w:tc>
        <w:tc>
          <w:tcPr>
            <w:tcW w:w="940" w:type="dxa"/>
            <w:tcBorders>
              <w:left w:val="single" w:sz="4" w:space="0" w:color="auto"/>
              <w:bottom w:val="single" w:sz="4" w:space="0" w:color="auto"/>
            </w:tcBorders>
          </w:tcPr>
          <w:p w:rsidR="00201789" w:rsidRPr="00701109" w:rsidRDefault="00201789"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01789" w:rsidRPr="00701109" w:rsidTr="009D7181">
        <w:trPr>
          <w:trHeight w:val="567"/>
        </w:trPr>
        <w:tc>
          <w:tcPr>
            <w:tcW w:w="825" w:type="dxa"/>
          </w:tcPr>
          <w:p w:rsidR="00201789" w:rsidRPr="00701109" w:rsidRDefault="00201789" w:rsidP="00426D5F">
            <w:pPr>
              <w:pStyle w:val="Tflutexti"/>
              <w:spacing w:before="240" w:line="240" w:lineRule="auto"/>
              <w:rPr>
                <w:rFonts w:ascii="Times New Roman" w:hAnsi="Times New Roman" w:cs="Times New Roman"/>
                <w:sz w:val="18"/>
                <w:szCs w:val="18"/>
              </w:rPr>
            </w:pPr>
          </w:p>
        </w:tc>
        <w:tc>
          <w:tcPr>
            <w:tcW w:w="1414" w:type="dxa"/>
          </w:tcPr>
          <w:p w:rsidR="00201789" w:rsidRPr="00701109" w:rsidRDefault="00201789" w:rsidP="00426D5F">
            <w:pPr>
              <w:pStyle w:val="Tflutexti"/>
              <w:spacing w:line="240" w:lineRule="auto"/>
              <w:rPr>
                <w:rFonts w:ascii="Times New Roman" w:hAnsi="Times New Roman" w:cs="Times New Roman"/>
                <w:sz w:val="18"/>
                <w:szCs w:val="18"/>
              </w:rPr>
            </w:pPr>
            <w:r w:rsidRPr="00701109">
              <w:rPr>
                <w:rFonts w:ascii="Times New Roman" w:hAnsi="Times New Roman" w:cs="Times New Roman"/>
                <w:sz w:val="18"/>
                <w:szCs w:val="18"/>
              </w:rPr>
              <w:t>Liður 7.2.</w:t>
            </w:r>
          </w:p>
        </w:tc>
        <w:tc>
          <w:tcPr>
            <w:tcW w:w="6181" w:type="dxa"/>
            <w:gridSpan w:val="2"/>
            <w:tcBorders>
              <w:right w:val="single" w:sz="4" w:space="0" w:color="auto"/>
            </w:tcBorders>
          </w:tcPr>
          <w:p w:rsidR="00201789" w:rsidRPr="00701109" w:rsidRDefault="0020178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Aðrar upplýsingar í verðbréfalýsingunni sem löggiltir endurskoðendur hafa endur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skoðað eða kannað og ef endurskoðendur hafa lagt fram skýrslu. Endursögn skýrslunnar eða, með samþykki lögbærs yfirvalds, samantekt á henni.</w:t>
            </w:r>
          </w:p>
        </w:tc>
        <w:tc>
          <w:tcPr>
            <w:tcW w:w="940" w:type="dxa"/>
            <w:tcBorders>
              <w:left w:val="single" w:sz="4" w:space="0" w:color="auto"/>
            </w:tcBorders>
          </w:tcPr>
          <w:p w:rsidR="00201789" w:rsidRPr="00701109" w:rsidRDefault="00201789" w:rsidP="00426D5F">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A</w:t>
            </w:r>
          </w:p>
        </w:tc>
      </w:tr>
      <w:tr w:rsidR="00201789" w:rsidRPr="00701109" w:rsidTr="009D7181">
        <w:trPr>
          <w:trHeight w:val="567"/>
        </w:trPr>
        <w:tc>
          <w:tcPr>
            <w:tcW w:w="825" w:type="dxa"/>
          </w:tcPr>
          <w:p w:rsidR="00201789" w:rsidRPr="00701109" w:rsidRDefault="00201789" w:rsidP="00426D5F">
            <w:pPr>
              <w:pStyle w:val="Tflutexti"/>
              <w:spacing w:before="240" w:line="240" w:lineRule="auto"/>
              <w:rPr>
                <w:rFonts w:ascii="Times New Roman" w:hAnsi="Times New Roman" w:cs="Times New Roman"/>
                <w:sz w:val="18"/>
                <w:szCs w:val="18"/>
              </w:rPr>
            </w:pPr>
          </w:p>
        </w:tc>
        <w:tc>
          <w:tcPr>
            <w:tcW w:w="1414" w:type="dxa"/>
          </w:tcPr>
          <w:p w:rsidR="00E63D76" w:rsidRPr="00701109" w:rsidRDefault="00201789" w:rsidP="00E63D76">
            <w:pPr>
              <w:pStyle w:val="Tflutexti"/>
              <w:spacing w:after="0" w:line="240" w:lineRule="auto"/>
              <w:jc w:val="left"/>
              <w:rPr>
                <w:rFonts w:ascii="Times New Roman" w:hAnsi="Times New Roman" w:cs="Times New Roman"/>
                <w:sz w:val="18"/>
                <w:szCs w:val="18"/>
              </w:rPr>
            </w:pPr>
            <w:r w:rsidRPr="00701109">
              <w:rPr>
                <w:rFonts w:ascii="Times New Roman" w:hAnsi="Times New Roman" w:cs="Times New Roman"/>
                <w:sz w:val="18"/>
                <w:szCs w:val="18"/>
              </w:rPr>
              <w:t xml:space="preserve">Liður 7.3. </w:t>
            </w:r>
          </w:p>
          <w:p w:rsidR="00201789" w:rsidRPr="00701109" w:rsidRDefault="00201789" w:rsidP="00E63D76">
            <w:pPr>
              <w:pStyle w:val="Tflutexti"/>
              <w:spacing w:before="0" w:line="240" w:lineRule="auto"/>
              <w:jc w:val="left"/>
              <w:rPr>
                <w:rFonts w:ascii="Times New Roman" w:hAnsi="Times New Roman" w:cs="Times New Roman"/>
                <w:sz w:val="18"/>
                <w:szCs w:val="18"/>
              </w:rPr>
            </w:pPr>
            <w:r w:rsidRPr="00701109">
              <w:rPr>
                <w:rFonts w:ascii="Times New Roman" w:hAnsi="Times New Roman" w:cs="Times New Roman"/>
                <w:sz w:val="18"/>
                <w:szCs w:val="18"/>
              </w:rPr>
              <w:t>(Aðeins almennir fjárfestar)</w:t>
            </w:r>
          </w:p>
        </w:tc>
        <w:tc>
          <w:tcPr>
            <w:tcW w:w="6181" w:type="dxa"/>
            <w:gridSpan w:val="2"/>
            <w:tcBorders>
              <w:right w:val="single" w:sz="4" w:space="0" w:color="auto"/>
            </w:tcBorders>
          </w:tcPr>
          <w:p w:rsidR="00201789" w:rsidRPr="00701109" w:rsidRDefault="0020178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Lánshæfiseinkunnir sem gefnar eru verðbréfunum að beiðni útgefanda eða með sam</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starfi hans í matsferlinu. Stutt skýring á merkingu lánshæfiseinkunnanna ef matsfyrir</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tækið hefur áður birt hana.</w:t>
            </w:r>
          </w:p>
        </w:tc>
        <w:tc>
          <w:tcPr>
            <w:tcW w:w="940" w:type="dxa"/>
            <w:tcBorders>
              <w:left w:val="single" w:sz="4" w:space="0" w:color="auto"/>
            </w:tcBorders>
          </w:tcPr>
          <w:p w:rsidR="00201789" w:rsidRPr="00701109" w:rsidRDefault="00201789" w:rsidP="00201789">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01789" w:rsidRPr="00701109" w:rsidTr="009D7181">
        <w:trPr>
          <w:trHeight w:val="567"/>
        </w:trPr>
        <w:tc>
          <w:tcPr>
            <w:tcW w:w="825" w:type="dxa"/>
          </w:tcPr>
          <w:p w:rsidR="00201789" w:rsidRPr="00701109" w:rsidRDefault="00201789" w:rsidP="00426D5F">
            <w:pPr>
              <w:pStyle w:val="Tflutexti"/>
              <w:spacing w:before="240" w:line="240" w:lineRule="auto"/>
              <w:rPr>
                <w:rFonts w:ascii="Times New Roman" w:hAnsi="Times New Roman" w:cs="Times New Roman"/>
                <w:sz w:val="18"/>
                <w:szCs w:val="18"/>
              </w:rPr>
            </w:pPr>
          </w:p>
        </w:tc>
        <w:tc>
          <w:tcPr>
            <w:tcW w:w="1414" w:type="dxa"/>
          </w:tcPr>
          <w:p w:rsidR="00201789" w:rsidRPr="00701109" w:rsidRDefault="00201789" w:rsidP="00E63D76">
            <w:pPr>
              <w:pStyle w:val="Tflutexti"/>
              <w:spacing w:line="240" w:lineRule="auto"/>
              <w:jc w:val="left"/>
              <w:rPr>
                <w:rFonts w:ascii="Times New Roman" w:hAnsi="Times New Roman" w:cs="Times New Roman"/>
                <w:sz w:val="18"/>
                <w:szCs w:val="18"/>
              </w:rPr>
            </w:pPr>
            <w:r w:rsidRPr="00701109">
              <w:rPr>
                <w:rFonts w:ascii="Times New Roman" w:hAnsi="Times New Roman" w:cs="Times New Roman"/>
                <w:sz w:val="18"/>
                <w:szCs w:val="18"/>
              </w:rPr>
              <w:t>Liður 7.4. (Aðeins heildsölu</w:t>
            </w:r>
            <w:r w:rsidR="00701109">
              <w:rPr>
                <w:rFonts w:ascii="Times New Roman" w:hAnsi="Times New Roman" w:cs="Times New Roman"/>
                <w:sz w:val="18"/>
                <w:szCs w:val="18"/>
              </w:rPr>
              <w:t>-</w:t>
            </w:r>
            <w:r w:rsidRPr="00701109">
              <w:rPr>
                <w:rFonts w:ascii="Times New Roman" w:hAnsi="Times New Roman" w:cs="Times New Roman"/>
                <w:sz w:val="18"/>
                <w:szCs w:val="18"/>
              </w:rPr>
              <w:t>fjárfestar)</w:t>
            </w:r>
          </w:p>
        </w:tc>
        <w:tc>
          <w:tcPr>
            <w:tcW w:w="6181" w:type="dxa"/>
            <w:gridSpan w:val="2"/>
            <w:tcBorders>
              <w:right w:val="single" w:sz="4" w:space="0" w:color="auto"/>
            </w:tcBorders>
          </w:tcPr>
          <w:p w:rsidR="00201789" w:rsidRPr="00701109" w:rsidRDefault="0020178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Áætlaður heildarkostnaður vegna töku til viðskipta.</w:t>
            </w:r>
          </w:p>
        </w:tc>
        <w:tc>
          <w:tcPr>
            <w:tcW w:w="940" w:type="dxa"/>
            <w:tcBorders>
              <w:left w:val="single" w:sz="4" w:space="0" w:color="auto"/>
            </w:tcBorders>
          </w:tcPr>
          <w:p w:rsidR="00201789" w:rsidRPr="00701109" w:rsidRDefault="00201789" w:rsidP="00201789">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r w:rsidR="00201789" w:rsidRPr="00701109" w:rsidTr="009D7181">
        <w:trPr>
          <w:trHeight w:val="567"/>
        </w:trPr>
        <w:tc>
          <w:tcPr>
            <w:tcW w:w="825" w:type="dxa"/>
          </w:tcPr>
          <w:p w:rsidR="00201789" w:rsidRPr="00701109" w:rsidRDefault="00201789" w:rsidP="00426D5F">
            <w:pPr>
              <w:pStyle w:val="Tflutexti"/>
              <w:spacing w:before="240" w:line="240" w:lineRule="auto"/>
              <w:rPr>
                <w:rFonts w:ascii="Times New Roman" w:hAnsi="Times New Roman" w:cs="Times New Roman"/>
                <w:sz w:val="18"/>
                <w:szCs w:val="18"/>
              </w:rPr>
            </w:pPr>
          </w:p>
        </w:tc>
        <w:tc>
          <w:tcPr>
            <w:tcW w:w="1414" w:type="dxa"/>
          </w:tcPr>
          <w:p w:rsidR="00201789" w:rsidRPr="00701109" w:rsidRDefault="00201789" w:rsidP="00E63D76">
            <w:pPr>
              <w:pStyle w:val="Tflutexti"/>
              <w:spacing w:line="240" w:lineRule="auto"/>
              <w:jc w:val="left"/>
              <w:rPr>
                <w:rFonts w:ascii="Times New Roman" w:hAnsi="Times New Roman" w:cs="Times New Roman"/>
                <w:sz w:val="18"/>
                <w:szCs w:val="18"/>
              </w:rPr>
            </w:pPr>
            <w:r w:rsidRPr="00701109">
              <w:rPr>
                <w:rFonts w:ascii="Times New Roman" w:hAnsi="Times New Roman" w:cs="Times New Roman"/>
                <w:sz w:val="18"/>
                <w:szCs w:val="18"/>
              </w:rPr>
              <w:t>Liður 7.5. (Aðeins heildsölu</w:t>
            </w:r>
            <w:r w:rsidR="00701109">
              <w:rPr>
                <w:rFonts w:ascii="Times New Roman" w:hAnsi="Times New Roman" w:cs="Times New Roman"/>
                <w:sz w:val="18"/>
                <w:szCs w:val="18"/>
              </w:rPr>
              <w:t>-</w:t>
            </w:r>
            <w:r w:rsidRPr="00701109">
              <w:rPr>
                <w:rFonts w:ascii="Times New Roman" w:hAnsi="Times New Roman" w:cs="Times New Roman"/>
                <w:sz w:val="18"/>
                <w:szCs w:val="18"/>
              </w:rPr>
              <w:t>fjárfestar)</w:t>
            </w:r>
          </w:p>
        </w:tc>
        <w:tc>
          <w:tcPr>
            <w:tcW w:w="6181" w:type="dxa"/>
            <w:gridSpan w:val="2"/>
            <w:tcBorders>
              <w:right w:val="single" w:sz="4" w:space="0" w:color="auto"/>
            </w:tcBorders>
          </w:tcPr>
          <w:p w:rsidR="00201789" w:rsidRPr="00701109" w:rsidRDefault="00201789" w:rsidP="00426D5F">
            <w:pPr>
              <w:pStyle w:val="Tflutexti"/>
              <w:rPr>
                <w:rFonts w:ascii="Times New Roman" w:hAnsi="Times New Roman" w:cs="Times New Roman"/>
                <w:sz w:val="18"/>
                <w:szCs w:val="18"/>
              </w:rPr>
            </w:pPr>
            <w:r w:rsidRPr="00701109">
              <w:rPr>
                <w:rFonts w:ascii="Times New Roman" w:hAnsi="Times New Roman" w:cs="Times New Roman"/>
                <w:sz w:val="18"/>
                <w:szCs w:val="18"/>
              </w:rPr>
              <w:t>Lánshæfiseinkunnir sem gefnar eru verðbréfunum að beiðni útgefanda eða með sam</w:t>
            </w:r>
            <w:r w:rsidR="00E63D76" w:rsidRPr="00701109">
              <w:rPr>
                <w:rFonts w:ascii="Times New Roman" w:hAnsi="Times New Roman" w:cs="Times New Roman"/>
                <w:sz w:val="18"/>
                <w:szCs w:val="18"/>
              </w:rPr>
              <w:softHyphen/>
            </w:r>
            <w:r w:rsidRPr="00701109">
              <w:rPr>
                <w:rFonts w:ascii="Times New Roman" w:hAnsi="Times New Roman" w:cs="Times New Roman"/>
                <w:sz w:val="18"/>
                <w:szCs w:val="18"/>
              </w:rPr>
              <w:t>starfi hans í matsferlinu.</w:t>
            </w:r>
          </w:p>
        </w:tc>
        <w:tc>
          <w:tcPr>
            <w:tcW w:w="940" w:type="dxa"/>
            <w:tcBorders>
              <w:left w:val="single" w:sz="4" w:space="0" w:color="auto"/>
            </w:tcBorders>
          </w:tcPr>
          <w:p w:rsidR="00201789" w:rsidRPr="00701109" w:rsidRDefault="00201789" w:rsidP="00201789">
            <w:pPr>
              <w:pStyle w:val="Tflutexti"/>
              <w:spacing w:before="160" w:after="0" w:line="240" w:lineRule="auto"/>
              <w:rPr>
                <w:rFonts w:ascii="Times New Roman" w:hAnsi="Times New Roman" w:cs="Times New Roman"/>
                <w:sz w:val="18"/>
                <w:szCs w:val="18"/>
              </w:rPr>
            </w:pPr>
            <w:r w:rsidRPr="00701109">
              <w:rPr>
                <w:rFonts w:ascii="Times New Roman" w:hAnsi="Times New Roman" w:cs="Times New Roman"/>
                <w:sz w:val="18"/>
                <w:szCs w:val="18"/>
              </w:rPr>
              <w:t>Flokkur C</w:t>
            </w:r>
          </w:p>
        </w:tc>
      </w:tr>
    </w:tbl>
    <w:p w:rsidR="009B6F21" w:rsidRPr="00701109" w:rsidRDefault="009B6F21" w:rsidP="007F6312">
      <w:pPr>
        <w:pStyle w:val="Meginml"/>
        <w:rPr>
          <w:rFonts w:ascii="Times New Roman" w:hAnsi="Times New Roman" w:cs="Times New Roman"/>
          <w:sz w:val="18"/>
          <w:szCs w:val="18"/>
          <w:lang w:val="is-IS"/>
        </w:rPr>
      </w:pPr>
    </w:p>
    <w:sectPr w:rsidR="009B6F21" w:rsidRPr="00701109"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701109" w:rsidRPr="00701109">
          <w:rPr>
            <w:rFonts w:ascii="Syntax LT Std" w:hAnsi="Syntax LT Std"/>
            <w:b/>
            <w:noProof/>
            <w:sz w:val="18"/>
            <w:szCs w:val="18"/>
          </w:rPr>
          <w:t>4</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701109" w:rsidRPr="00701109">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663"/>
    <w:multiLevelType w:val="hybridMultilevel"/>
    <w:tmpl w:val="5F1405C8"/>
    <w:lvl w:ilvl="0" w:tplc="22FED7E0">
      <w:start w:val="1"/>
      <w:numFmt w:val="lowerLetter"/>
      <w:lvlText w:val="%1)"/>
      <w:lvlJc w:val="left"/>
      <w:pPr>
        <w:ind w:left="722" w:hanging="705"/>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1"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2" w15:restartNumberingAfterBreak="0">
    <w:nsid w:val="1457064B"/>
    <w:multiLevelType w:val="hybridMultilevel"/>
    <w:tmpl w:val="EF5412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4" w15:restartNumberingAfterBreak="0">
    <w:nsid w:val="19CA0C35"/>
    <w:multiLevelType w:val="hybridMultilevel"/>
    <w:tmpl w:val="6E24E5F6"/>
    <w:lvl w:ilvl="0" w:tplc="95E2AEB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8660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2C893FE5"/>
    <w:multiLevelType w:val="hybridMultilevel"/>
    <w:tmpl w:val="82F0ACB8"/>
    <w:lvl w:ilvl="0" w:tplc="DB14085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1B0748A"/>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11" w15:restartNumberingAfterBreak="0">
    <w:nsid w:val="3EED48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13"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14" w15:restartNumberingAfterBreak="0">
    <w:nsid w:val="4B26306A"/>
    <w:multiLevelType w:val="hybridMultilevel"/>
    <w:tmpl w:val="878A5642"/>
    <w:lvl w:ilvl="0" w:tplc="A796A16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B2A4D42"/>
    <w:multiLevelType w:val="hybridMultilevel"/>
    <w:tmpl w:val="41885D98"/>
    <w:lvl w:ilvl="0" w:tplc="A7FAC66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56463D"/>
    <w:multiLevelType w:val="hybridMultilevel"/>
    <w:tmpl w:val="3DF40772"/>
    <w:lvl w:ilvl="0" w:tplc="16DC65D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FD6539B"/>
    <w:multiLevelType w:val="hybridMultilevel"/>
    <w:tmpl w:val="E12E22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6C97301"/>
    <w:multiLevelType w:val="hybridMultilevel"/>
    <w:tmpl w:val="AF8E56D2"/>
    <w:lvl w:ilvl="0" w:tplc="32AA02F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60736"/>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BD64DF3"/>
    <w:multiLevelType w:val="hybridMultilevel"/>
    <w:tmpl w:val="D0F866FE"/>
    <w:lvl w:ilvl="0" w:tplc="6D2EE41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F737072"/>
    <w:multiLevelType w:val="hybridMultilevel"/>
    <w:tmpl w:val="FB4AFCE0"/>
    <w:lvl w:ilvl="0" w:tplc="FC46A88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2"/>
  </w:num>
  <w:num w:numId="2">
    <w:abstractNumId w:val="16"/>
  </w:num>
  <w:num w:numId="3">
    <w:abstractNumId w:val="6"/>
  </w:num>
  <w:num w:numId="4">
    <w:abstractNumId w:val="1"/>
  </w:num>
  <w:num w:numId="5">
    <w:abstractNumId w:val="10"/>
  </w:num>
  <w:num w:numId="6">
    <w:abstractNumId w:val="5"/>
  </w:num>
  <w:num w:numId="7">
    <w:abstractNumId w:val="19"/>
  </w:num>
  <w:num w:numId="8">
    <w:abstractNumId w:val="20"/>
  </w:num>
  <w:num w:numId="9">
    <w:abstractNumId w:val="13"/>
  </w:num>
  <w:num w:numId="10">
    <w:abstractNumId w:val="3"/>
  </w:num>
  <w:num w:numId="11">
    <w:abstractNumId w:val="25"/>
  </w:num>
  <w:num w:numId="12">
    <w:abstractNumId w:val="12"/>
  </w:num>
  <w:num w:numId="13">
    <w:abstractNumId w:val="27"/>
  </w:num>
  <w:num w:numId="14">
    <w:abstractNumId w:val="15"/>
  </w:num>
  <w:num w:numId="15">
    <w:abstractNumId w:val="17"/>
  </w:num>
  <w:num w:numId="16">
    <w:abstractNumId w:val="21"/>
  </w:num>
  <w:num w:numId="17">
    <w:abstractNumId w:val="0"/>
  </w:num>
  <w:num w:numId="18">
    <w:abstractNumId w:val="14"/>
  </w:num>
  <w:num w:numId="19">
    <w:abstractNumId w:val="4"/>
  </w:num>
  <w:num w:numId="20">
    <w:abstractNumId w:val="24"/>
  </w:num>
  <w:num w:numId="21">
    <w:abstractNumId w:val="26"/>
  </w:num>
  <w:num w:numId="22">
    <w:abstractNumId w:val="11"/>
  </w:num>
  <w:num w:numId="23">
    <w:abstractNumId w:val="9"/>
  </w:num>
  <w:num w:numId="24">
    <w:abstractNumId w:val="23"/>
  </w:num>
  <w:num w:numId="25">
    <w:abstractNumId w:val="2"/>
  </w:num>
  <w:num w:numId="26">
    <w:abstractNumId w:val="18"/>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4"/>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321F"/>
    <w:rsid w:val="00004000"/>
    <w:rsid w:val="000117D6"/>
    <w:rsid w:val="000472F2"/>
    <w:rsid w:val="00070B9E"/>
    <w:rsid w:val="00071910"/>
    <w:rsid w:val="0008056E"/>
    <w:rsid w:val="000969A7"/>
    <w:rsid w:val="000C4A85"/>
    <w:rsid w:val="000E3F84"/>
    <w:rsid w:val="00110951"/>
    <w:rsid w:val="00112D07"/>
    <w:rsid w:val="0011486D"/>
    <w:rsid w:val="00115C50"/>
    <w:rsid w:val="00145496"/>
    <w:rsid w:val="0014761D"/>
    <w:rsid w:val="0015527B"/>
    <w:rsid w:val="00166A8A"/>
    <w:rsid w:val="00173F0B"/>
    <w:rsid w:val="001900B4"/>
    <w:rsid w:val="001A16B9"/>
    <w:rsid w:val="001A4B41"/>
    <w:rsid w:val="001C014B"/>
    <w:rsid w:val="001E5E3E"/>
    <w:rsid w:val="00201789"/>
    <w:rsid w:val="0023476A"/>
    <w:rsid w:val="0027081A"/>
    <w:rsid w:val="00274D4A"/>
    <w:rsid w:val="002776DC"/>
    <w:rsid w:val="002834C2"/>
    <w:rsid w:val="002C14F6"/>
    <w:rsid w:val="002C1F03"/>
    <w:rsid w:val="002C4DEE"/>
    <w:rsid w:val="002D383E"/>
    <w:rsid w:val="002D5752"/>
    <w:rsid w:val="002E73A5"/>
    <w:rsid w:val="002F42A8"/>
    <w:rsid w:val="002F4DE5"/>
    <w:rsid w:val="0034708D"/>
    <w:rsid w:val="003530CE"/>
    <w:rsid w:val="0037551E"/>
    <w:rsid w:val="0038196C"/>
    <w:rsid w:val="00396E77"/>
    <w:rsid w:val="003A6ACB"/>
    <w:rsid w:val="003B26F8"/>
    <w:rsid w:val="003B7EF8"/>
    <w:rsid w:val="003F7D69"/>
    <w:rsid w:val="00400584"/>
    <w:rsid w:val="004055BE"/>
    <w:rsid w:val="00426D5F"/>
    <w:rsid w:val="00453322"/>
    <w:rsid w:val="00453E1B"/>
    <w:rsid w:val="00472427"/>
    <w:rsid w:val="0048155C"/>
    <w:rsid w:val="004B390F"/>
    <w:rsid w:val="004C2AD6"/>
    <w:rsid w:val="004F7A17"/>
    <w:rsid w:val="00553173"/>
    <w:rsid w:val="005A29F9"/>
    <w:rsid w:val="005B6EED"/>
    <w:rsid w:val="005F58FF"/>
    <w:rsid w:val="00606C30"/>
    <w:rsid w:val="00616F56"/>
    <w:rsid w:val="00620C4C"/>
    <w:rsid w:val="00625694"/>
    <w:rsid w:val="00646C80"/>
    <w:rsid w:val="00662A42"/>
    <w:rsid w:val="006743E4"/>
    <w:rsid w:val="00685FFA"/>
    <w:rsid w:val="006903A6"/>
    <w:rsid w:val="00695FBC"/>
    <w:rsid w:val="006A09C0"/>
    <w:rsid w:val="006C5373"/>
    <w:rsid w:val="006C70F2"/>
    <w:rsid w:val="006D7F78"/>
    <w:rsid w:val="00701109"/>
    <w:rsid w:val="00706462"/>
    <w:rsid w:val="00737999"/>
    <w:rsid w:val="00737D2D"/>
    <w:rsid w:val="00753BAC"/>
    <w:rsid w:val="00755030"/>
    <w:rsid w:val="00760BE8"/>
    <w:rsid w:val="007B0B36"/>
    <w:rsid w:val="007B4FD3"/>
    <w:rsid w:val="007B5B30"/>
    <w:rsid w:val="007E3186"/>
    <w:rsid w:val="007E461F"/>
    <w:rsid w:val="007F6312"/>
    <w:rsid w:val="008102DF"/>
    <w:rsid w:val="00843318"/>
    <w:rsid w:val="00850094"/>
    <w:rsid w:val="00852758"/>
    <w:rsid w:val="00872C2D"/>
    <w:rsid w:val="00884E14"/>
    <w:rsid w:val="008D2569"/>
    <w:rsid w:val="00911C1E"/>
    <w:rsid w:val="009176B1"/>
    <w:rsid w:val="00934E11"/>
    <w:rsid w:val="00955152"/>
    <w:rsid w:val="0096481A"/>
    <w:rsid w:val="009B6F21"/>
    <w:rsid w:val="009C2663"/>
    <w:rsid w:val="009D0B31"/>
    <w:rsid w:val="009D541A"/>
    <w:rsid w:val="009D7181"/>
    <w:rsid w:val="009E1659"/>
    <w:rsid w:val="00A6629E"/>
    <w:rsid w:val="00A861F4"/>
    <w:rsid w:val="00B271B8"/>
    <w:rsid w:val="00B724CE"/>
    <w:rsid w:val="00B75D56"/>
    <w:rsid w:val="00B851E6"/>
    <w:rsid w:val="00B97C91"/>
    <w:rsid w:val="00BC4587"/>
    <w:rsid w:val="00BF72D5"/>
    <w:rsid w:val="00C50053"/>
    <w:rsid w:val="00C5268A"/>
    <w:rsid w:val="00C555A0"/>
    <w:rsid w:val="00C7686E"/>
    <w:rsid w:val="00C83A85"/>
    <w:rsid w:val="00CB34D8"/>
    <w:rsid w:val="00CD20EA"/>
    <w:rsid w:val="00CD5159"/>
    <w:rsid w:val="00CF771D"/>
    <w:rsid w:val="00D16F4E"/>
    <w:rsid w:val="00D70593"/>
    <w:rsid w:val="00D94D99"/>
    <w:rsid w:val="00DB324A"/>
    <w:rsid w:val="00DE116E"/>
    <w:rsid w:val="00DF0B2D"/>
    <w:rsid w:val="00E1322B"/>
    <w:rsid w:val="00E272DD"/>
    <w:rsid w:val="00E62101"/>
    <w:rsid w:val="00E63D76"/>
    <w:rsid w:val="00E8597A"/>
    <w:rsid w:val="00E90779"/>
    <w:rsid w:val="00EB1F15"/>
    <w:rsid w:val="00EB2C0B"/>
    <w:rsid w:val="00EF0CBF"/>
    <w:rsid w:val="00EF7920"/>
    <w:rsid w:val="00F256B2"/>
    <w:rsid w:val="00F54F76"/>
    <w:rsid w:val="00F72C3C"/>
    <w:rsid w:val="00F75224"/>
    <w:rsid w:val="00FA026D"/>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E6A50CA"/>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character" w:styleId="BookTitle">
    <w:name w:val="Book Title"/>
    <w:basedOn w:val="DefaultParagraphFont"/>
    <w:uiPriority w:val="33"/>
    <w:qFormat/>
    <w:rsid w:val="00C555A0"/>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6C543E-20D3-4979-8C3C-26F6E684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180</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57</cp:revision>
  <cp:lastPrinted>2020-02-10T13:55:00Z</cp:lastPrinted>
  <dcterms:created xsi:type="dcterms:W3CDTF">2020-01-21T10:14:00Z</dcterms:created>
  <dcterms:modified xsi:type="dcterms:W3CDTF">2020-05-05T08:34:00Z</dcterms:modified>
</cp:coreProperties>
</file>